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color w:val="000000"/>
          <w:sz w:val="30"/>
          <w:szCs w:val="30"/>
        </w:rPr>
      </w:pPr>
      <w:bookmarkStart w:id="120" w:name="_GoBack"/>
      <w:bookmarkEnd w:id="120"/>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sz w:val="72"/>
          <w:szCs w:val="72"/>
        </w:rPr>
      </w:pPr>
      <w:bookmarkStart w:id="1" w:name="_Toc15377193"/>
      <w:bookmarkStart w:id="2" w:name="_Toc119056953"/>
      <w:bookmarkStart w:id="3" w:name="_Toc15377425"/>
      <w:bookmarkStart w:id="4" w:name="_Toc80284647"/>
      <w:bookmarkStart w:id="5" w:name="_Toc15378441"/>
      <w:bookmarkStart w:id="6" w:name="_Toc15396597"/>
      <w:bookmarkStart w:id="7" w:name="_Toc15396475"/>
      <w:bookmarkStart w:id="8" w:name="_Toc80618984"/>
      <w:r>
        <w:rPr>
          <w:rFonts w:ascii="黑体" w:hAnsi="黑体" w:eastAsia="黑体"/>
          <w:sz w:val="72"/>
          <w:szCs w:val="72"/>
        </w:rPr>
        <w:t>20</w:t>
      </w:r>
      <w:r>
        <w:rPr>
          <w:rFonts w:hint="eastAsia" w:ascii="黑体" w:hAnsi="黑体" w:eastAsia="黑体"/>
          <w:sz w:val="72"/>
          <w:szCs w:val="72"/>
        </w:rPr>
        <w:t>20</w:t>
      </w:r>
      <w:r>
        <w:rPr>
          <w:rFonts w:hint="eastAsia" w:ascii="方正小标宋简体" w:hAnsi="宋体" w:eastAsia="方正小标宋简体"/>
          <w:sz w:val="72"/>
          <w:szCs w:val="72"/>
        </w:rPr>
        <w:t>年度</w:t>
      </w:r>
      <w:bookmarkEnd w:id="1"/>
      <w:bookmarkEnd w:id="2"/>
      <w:bookmarkEnd w:id="3"/>
      <w:bookmarkEnd w:id="4"/>
      <w:bookmarkEnd w:id="5"/>
      <w:bookmarkEnd w:id="6"/>
      <w:bookmarkEnd w:id="7"/>
      <w:bookmarkEnd w:id="8"/>
    </w:p>
    <w:bookmarkEnd w:id="0"/>
    <w:p>
      <w:pPr>
        <w:adjustRightInd w:val="0"/>
        <w:snapToGrid w:val="0"/>
        <w:spacing w:line="360" w:lineRule="auto"/>
        <w:jc w:val="center"/>
        <w:outlineLvl w:val="0"/>
        <w:rPr>
          <w:rFonts w:ascii="方正小标宋简体" w:hAnsi="宋体" w:eastAsia="方正小标宋简体"/>
          <w:sz w:val="72"/>
          <w:szCs w:val="72"/>
        </w:rPr>
      </w:pPr>
      <w:bookmarkStart w:id="9" w:name="_Toc119056954"/>
      <w:bookmarkStart w:id="10" w:name="_Toc80618985"/>
      <w:bookmarkStart w:id="11" w:name="_Toc80284648"/>
      <w:bookmarkStart w:id="12" w:name="_Toc15378442"/>
      <w:bookmarkStart w:id="13" w:name="_Toc15396598"/>
      <w:bookmarkStart w:id="14" w:name="_Toc15377426"/>
      <w:bookmarkStart w:id="15" w:name="_Toc15306268"/>
      <w:bookmarkStart w:id="16" w:name="_Toc15377194"/>
      <w:bookmarkStart w:id="17" w:name="_Toc15396476"/>
      <w:r>
        <w:rPr>
          <w:rFonts w:hint="eastAsia" w:ascii="方正小标宋简体" w:hAnsi="宋体" w:eastAsia="方正小标宋简体"/>
          <w:sz w:val="72"/>
          <w:szCs w:val="72"/>
        </w:rPr>
        <w:t>四川矿产机电技师学院</w:t>
      </w:r>
      <w:bookmarkEnd w:id="9"/>
      <w:bookmarkEnd w:id="10"/>
      <w:bookmarkEnd w:id="11"/>
    </w:p>
    <w:p>
      <w:pPr>
        <w:adjustRightInd w:val="0"/>
        <w:snapToGrid w:val="0"/>
        <w:spacing w:line="360" w:lineRule="auto"/>
        <w:jc w:val="center"/>
        <w:outlineLvl w:val="0"/>
        <w:rPr>
          <w:rFonts w:ascii="方正小标宋简体" w:hAnsi="宋体" w:eastAsia="方正小标宋简体"/>
          <w:sz w:val="72"/>
          <w:szCs w:val="72"/>
        </w:rPr>
      </w:pPr>
      <w:bookmarkStart w:id="18" w:name="_Toc80284649"/>
      <w:bookmarkStart w:id="19" w:name="_Toc119056955"/>
      <w:bookmarkStart w:id="20" w:name="_Toc80618986"/>
      <w:r>
        <w:rPr>
          <w:rFonts w:hint="eastAsia" w:ascii="方正小标宋简体" w:hAnsi="宋体" w:eastAsia="方正小标宋简体"/>
          <w:sz w:val="72"/>
          <w:szCs w:val="72"/>
        </w:rPr>
        <w:t>单位决算</w:t>
      </w:r>
      <w:bookmarkEnd w:id="12"/>
      <w:bookmarkEnd w:id="13"/>
      <w:bookmarkEnd w:id="14"/>
      <w:bookmarkEnd w:id="15"/>
      <w:bookmarkEnd w:id="16"/>
      <w:bookmarkEnd w:id="17"/>
      <w:bookmarkEnd w:id="18"/>
      <w:bookmarkEnd w:id="19"/>
      <w:bookmarkEnd w:id="20"/>
    </w:p>
    <w:p>
      <w:pPr>
        <w:adjustRightInd w:val="0"/>
        <w:snapToGrid w:val="0"/>
        <w:spacing w:line="360" w:lineRule="auto"/>
        <w:jc w:val="center"/>
        <w:outlineLvl w:val="0"/>
        <w:rPr>
          <w:rFonts w:ascii="方正小标宋简体" w:hAnsi="宋体" w:eastAsia="方正小标宋简体"/>
          <w:sz w:val="52"/>
          <w:szCs w:val="52"/>
        </w:rPr>
      </w:pPr>
      <w:bookmarkStart w:id="21" w:name="_Toc80618987"/>
      <w:bookmarkStart w:id="22" w:name="_Toc119056956"/>
      <w:bookmarkStart w:id="23" w:name="_Toc80284650"/>
      <w:r>
        <w:rPr>
          <w:rFonts w:hint="eastAsia" w:ascii="方正小标宋简体" w:hAnsi="宋体" w:eastAsia="方正小标宋简体"/>
          <w:sz w:val="52"/>
          <w:szCs w:val="52"/>
        </w:rPr>
        <w:t>(单位公开)</w:t>
      </w:r>
      <w:bookmarkEnd w:id="21"/>
      <w:bookmarkEnd w:id="22"/>
      <w:bookmarkEnd w:id="23"/>
    </w:p>
    <w:p>
      <w:pPr>
        <w:widowControl/>
        <w:jc w:val="center"/>
        <w:rPr>
          <w:rFonts w:ascii="方正小标宋简体" w:hAnsi="宋体" w:eastAsia="方正小标宋简体"/>
          <w:sz w:val="36"/>
          <w:szCs w:val="36"/>
        </w:rPr>
        <w:sectPr>
          <w:headerReference r:id="rId4" w:type="first"/>
          <w:headerReference r:id="rId3" w:type="default"/>
          <w:pgSz w:w="11906" w:h="16838"/>
          <w:pgMar w:top="1440" w:right="1800" w:bottom="1440" w:left="1800" w:header="851" w:footer="992" w:gutter="0"/>
          <w:pgNumType w:fmt="upperRoman" w:start="1"/>
          <w:cols w:space="425" w:num="1"/>
          <w:docGrid w:type="lines" w:linePitch="312" w:charSpace="0"/>
        </w:sectPr>
      </w:pPr>
      <w:r>
        <w:rPr>
          <w:rFonts w:ascii="方正小标宋简体" w:hAnsi="宋体" w:eastAsia="方正小标宋简体"/>
          <w:sz w:val="36"/>
          <w:szCs w:val="36"/>
        </w:rPr>
        <w:br w:type="page"/>
      </w:r>
    </w:p>
    <w:sdt>
      <w:sdtPr>
        <w:rPr>
          <w:rFonts w:ascii="黑体" w:hAnsi="黑体" w:eastAsia="黑体" w:cs="Times New Roman"/>
          <w:color w:val="auto"/>
          <w:kern w:val="2"/>
          <w:sz w:val="48"/>
          <w:szCs w:val="48"/>
          <w:lang w:val="zh-CN"/>
        </w:rPr>
        <w:id w:val="643467942"/>
        <w:docPartObj>
          <w:docPartGallery w:val="Table of Contents"/>
          <w:docPartUnique/>
        </w:docPartObj>
      </w:sdtPr>
      <w:sdtEndPr>
        <w:rPr>
          <w:rFonts w:ascii="楷体" w:hAnsi="楷体" w:eastAsia="楷体" w:cs="Times New Roman"/>
          <w:bCs/>
          <w:color w:val="auto"/>
          <w:kern w:val="2"/>
          <w:sz w:val="30"/>
          <w:szCs w:val="30"/>
          <w:lang w:val="zh-CN"/>
        </w:rPr>
      </w:sdtEndPr>
      <w:sdtContent>
        <w:p>
          <w:pPr>
            <w:pStyle w:val="34"/>
            <w:jc w:val="center"/>
            <w:rPr>
              <w:rFonts w:ascii="黑体" w:hAnsi="黑体" w:eastAsia="黑体"/>
              <w:color w:val="auto"/>
              <w:sz w:val="48"/>
              <w:szCs w:val="48"/>
            </w:rPr>
          </w:pPr>
          <w:r>
            <w:rPr>
              <w:rFonts w:ascii="黑体" w:hAnsi="黑体" w:eastAsia="黑体"/>
              <w:color w:val="auto"/>
              <w:sz w:val="48"/>
              <w:szCs w:val="48"/>
              <w:lang w:val="zh-CN"/>
            </w:rPr>
            <w:t>目</w:t>
          </w:r>
          <w:r>
            <w:rPr>
              <w:rFonts w:hint="eastAsia" w:ascii="黑体" w:hAnsi="黑体" w:eastAsia="黑体"/>
              <w:color w:val="auto"/>
              <w:sz w:val="48"/>
              <w:szCs w:val="48"/>
              <w:lang w:val="zh-CN"/>
            </w:rPr>
            <w:t xml:space="preserve">  </w:t>
          </w:r>
          <w:r>
            <w:rPr>
              <w:rFonts w:ascii="黑体" w:hAnsi="黑体" w:eastAsia="黑体"/>
              <w:color w:val="auto"/>
              <w:sz w:val="48"/>
              <w:szCs w:val="48"/>
              <w:lang w:val="zh-CN"/>
            </w:rPr>
            <w:t>录</w:t>
          </w:r>
        </w:p>
        <w:p>
          <w:pPr>
            <w:pStyle w:val="11"/>
          </w:pPr>
        </w:p>
        <w:p>
          <w:pPr>
            <w:pStyle w:val="11"/>
          </w:pPr>
          <w:r>
            <w:rPr>
              <w:rFonts w:hint="eastAsia"/>
            </w:rPr>
            <w:t>公开时间：2021年9月10日</w:t>
          </w:r>
        </w:p>
        <w:p>
          <w:pPr>
            <w:pStyle w:val="11"/>
            <w:rPr>
              <w:rFonts w:ascii="楷体" w:hAnsi="楷体" w:eastAsia="楷体" w:cstheme="minorBidi"/>
              <w:sz w:val="30"/>
              <w:szCs w:val="30"/>
            </w:rPr>
          </w:pPr>
          <w:r>
            <w:rPr>
              <w:rFonts w:ascii="楷体" w:hAnsi="楷体" w:eastAsia="楷体"/>
              <w:sz w:val="30"/>
              <w:szCs w:val="30"/>
            </w:rPr>
            <w:fldChar w:fldCharType="begin"/>
          </w:r>
          <w:r>
            <w:rPr>
              <w:rFonts w:ascii="楷体" w:hAnsi="楷体" w:eastAsia="楷体"/>
              <w:sz w:val="30"/>
              <w:szCs w:val="30"/>
            </w:rPr>
            <w:instrText xml:space="preserve"> TOC \o "1-3" \h \z \u </w:instrText>
          </w:r>
          <w:r>
            <w:rPr>
              <w:rFonts w:ascii="楷体" w:hAnsi="楷体" w:eastAsia="楷体"/>
              <w:sz w:val="30"/>
              <w:szCs w:val="30"/>
            </w:rPr>
            <w:fldChar w:fldCharType="separate"/>
          </w:r>
        </w:p>
        <w:p>
          <w:pPr>
            <w:pStyle w:val="11"/>
            <w:rPr>
              <w:rFonts w:ascii="楷体" w:hAnsi="楷体" w:eastAsia="楷体" w:cstheme="minorBidi"/>
              <w:sz w:val="30"/>
              <w:szCs w:val="30"/>
            </w:rPr>
          </w:pPr>
          <w:r>
            <w:fldChar w:fldCharType="begin"/>
          </w:r>
          <w:r>
            <w:instrText xml:space="preserve"> HYPERLINK \l "_Toc119056957" </w:instrText>
          </w:r>
          <w:r>
            <w:fldChar w:fldCharType="separate"/>
          </w:r>
          <w:r>
            <w:rPr>
              <w:rStyle w:val="18"/>
              <w:rFonts w:hint="eastAsia" w:ascii="楷体" w:hAnsi="楷体" w:eastAsia="楷体"/>
              <w:sz w:val="30"/>
              <w:szCs w:val="30"/>
            </w:rPr>
            <w:t>第一部分</w:t>
          </w:r>
          <w:r>
            <w:rPr>
              <w:rStyle w:val="18"/>
              <w:rFonts w:ascii="楷体" w:hAnsi="楷体" w:eastAsia="楷体"/>
              <w:sz w:val="30"/>
              <w:szCs w:val="30"/>
            </w:rPr>
            <w:t xml:space="preserve"> </w:t>
          </w:r>
          <w:r>
            <w:rPr>
              <w:rStyle w:val="18"/>
              <w:rFonts w:hint="eastAsia" w:ascii="楷体" w:hAnsi="楷体" w:eastAsia="楷体"/>
              <w:sz w:val="30"/>
              <w:szCs w:val="30"/>
            </w:rPr>
            <w:t>单位概况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_Toc119056957 \h </w:instrText>
          </w:r>
          <w:r>
            <w:rPr>
              <w:rFonts w:ascii="楷体" w:hAnsi="楷体" w:eastAsia="楷体"/>
              <w:sz w:val="30"/>
              <w:szCs w:val="30"/>
            </w:rPr>
            <w:fldChar w:fldCharType="separate"/>
          </w:r>
          <w:r>
            <w:rPr>
              <w:rFonts w:ascii="楷体" w:hAnsi="楷体" w:eastAsia="楷体"/>
              <w:sz w:val="30"/>
              <w:szCs w:val="30"/>
            </w:rPr>
            <w:t>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"_Toc119056958" </w:instrText>
          </w:r>
          <w:r>
            <w:fldChar w:fldCharType="separate"/>
          </w:r>
          <w:r>
            <w:rPr>
              <w:rStyle w:val="18"/>
              <w:rFonts w:hint="eastAsia" w:ascii="楷体" w:hAnsi="楷体" w:eastAsia="楷体"/>
              <w:sz w:val="30"/>
              <w:szCs w:val="30"/>
            </w:rPr>
            <w:t>一、 职能简介</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_Toc119056958 \h </w:instrText>
          </w:r>
          <w:r>
            <w:rPr>
              <w:rFonts w:ascii="楷体" w:hAnsi="楷体" w:eastAsia="楷体"/>
              <w:sz w:val="30"/>
              <w:szCs w:val="30"/>
            </w:rPr>
            <w:fldChar w:fldCharType="separate"/>
          </w:r>
          <w:r>
            <w:rPr>
              <w:rFonts w:ascii="楷体" w:hAnsi="楷体" w:eastAsia="楷体"/>
              <w:sz w:val="30"/>
              <w:szCs w:val="30"/>
            </w:rPr>
            <w:t>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"_Toc119056959" </w:instrText>
          </w:r>
          <w:r>
            <w:fldChar w:fldCharType="separate"/>
          </w:r>
          <w:r>
            <w:rPr>
              <w:rStyle w:val="18"/>
              <w:rFonts w:hint="eastAsia" w:ascii="楷体" w:hAnsi="楷体" w:eastAsia="楷体"/>
              <w:sz w:val="30"/>
              <w:szCs w:val="30"/>
            </w:rPr>
            <w:t>二、</w:t>
          </w:r>
          <w:r>
            <w:rPr>
              <w:rStyle w:val="18"/>
              <w:rFonts w:ascii="楷体" w:hAnsi="楷体" w:eastAsia="楷体"/>
              <w:sz w:val="30"/>
              <w:szCs w:val="30"/>
            </w:rPr>
            <w:t xml:space="preserve"> 2020</w:t>
          </w:r>
          <w:r>
            <w:rPr>
              <w:rStyle w:val="18"/>
              <w:rFonts w:hint="eastAsia" w:ascii="楷体" w:hAnsi="楷体" w:eastAsia="楷体"/>
              <w:sz w:val="30"/>
              <w:szCs w:val="30"/>
            </w:rPr>
            <w:t>年重点工作完成情况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_Toc119056959 \h </w:instrText>
          </w:r>
          <w:r>
            <w:rPr>
              <w:rFonts w:ascii="楷体" w:hAnsi="楷体" w:eastAsia="楷体"/>
              <w:sz w:val="30"/>
              <w:szCs w:val="30"/>
            </w:rPr>
            <w:fldChar w:fldCharType="separate"/>
          </w:r>
          <w:r>
            <w:rPr>
              <w:rFonts w:ascii="楷体" w:hAnsi="楷体" w:eastAsia="楷体"/>
              <w:sz w:val="30"/>
              <w:szCs w:val="30"/>
            </w:rPr>
            <w:t>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"_Toc119056960" </w:instrText>
          </w:r>
          <w:r>
            <w:fldChar w:fldCharType="separate"/>
          </w:r>
          <w:r>
            <w:rPr>
              <w:rStyle w:val="18"/>
              <w:rFonts w:hint="eastAsia" w:ascii="楷体" w:hAnsi="楷体" w:eastAsia="楷体"/>
              <w:sz w:val="30"/>
              <w:szCs w:val="30"/>
            </w:rPr>
            <w:t>三、 机构设置情况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_Toc119056960 \h </w:instrText>
          </w:r>
          <w:r>
            <w:rPr>
              <w:rFonts w:ascii="楷体" w:hAnsi="楷体" w:eastAsia="楷体"/>
              <w:sz w:val="30"/>
              <w:szCs w:val="30"/>
            </w:rPr>
            <w:fldChar w:fldCharType="separate"/>
          </w:r>
          <w:r>
            <w:rPr>
              <w:rFonts w:ascii="楷体" w:hAnsi="楷体" w:eastAsia="楷体"/>
              <w:sz w:val="30"/>
              <w:szCs w:val="30"/>
            </w:rPr>
            <w:t>12</w:t>
          </w:r>
          <w:r>
            <w:rPr>
              <w:rFonts w:ascii="楷体" w:hAnsi="楷体" w:eastAsia="楷体"/>
              <w:sz w:val="30"/>
              <w:szCs w:val="30"/>
            </w:rPr>
            <w:fldChar w:fldCharType="end"/>
          </w:r>
          <w:r>
            <w:rPr>
              <w:rFonts w:ascii="楷体" w:hAnsi="楷体" w:eastAsia="楷体"/>
              <w:sz w:val="30"/>
              <w:szCs w:val="30"/>
            </w:rPr>
            <w:fldChar w:fldCharType="end"/>
          </w:r>
        </w:p>
        <w:p>
          <w:pPr>
            <w:pStyle w:val="11"/>
            <w:rPr>
              <w:rFonts w:ascii="楷体" w:hAnsi="楷体" w:eastAsia="楷体" w:cstheme="minorBidi"/>
              <w:sz w:val="30"/>
              <w:szCs w:val="30"/>
            </w:rPr>
          </w:pPr>
          <w:r>
            <w:fldChar w:fldCharType="begin"/>
          </w:r>
          <w:r>
            <w:instrText xml:space="preserve"> HYPERLINK \l "_Toc119056961" </w:instrText>
          </w:r>
          <w:r>
            <w:fldChar w:fldCharType="separate"/>
          </w:r>
          <w:r>
            <w:rPr>
              <w:rStyle w:val="18"/>
              <w:rFonts w:hint="eastAsia" w:ascii="楷体" w:hAnsi="楷体" w:eastAsia="楷体"/>
              <w:sz w:val="30"/>
              <w:szCs w:val="30"/>
            </w:rPr>
            <w:t>第二部分</w:t>
          </w:r>
          <w:r>
            <w:rPr>
              <w:rStyle w:val="18"/>
              <w:rFonts w:ascii="楷体" w:hAnsi="楷体" w:eastAsia="楷体"/>
              <w:sz w:val="30"/>
              <w:szCs w:val="30"/>
            </w:rPr>
            <w:t xml:space="preserve"> 2020</w:t>
          </w:r>
          <w:r>
            <w:rPr>
              <w:rStyle w:val="18"/>
              <w:rFonts w:hint="eastAsia" w:ascii="楷体" w:hAnsi="楷体" w:eastAsia="楷体"/>
              <w:sz w:val="30"/>
              <w:szCs w:val="30"/>
            </w:rPr>
            <w:t>年度单位决算情况说明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_Toc119056961 \h </w:instrText>
          </w:r>
          <w:r>
            <w:rPr>
              <w:rFonts w:ascii="楷体" w:hAnsi="楷体" w:eastAsia="楷体"/>
              <w:sz w:val="30"/>
              <w:szCs w:val="30"/>
            </w:rPr>
            <w:fldChar w:fldCharType="separate"/>
          </w:r>
          <w:r>
            <w:rPr>
              <w:rFonts w:ascii="楷体" w:hAnsi="楷体" w:eastAsia="楷体"/>
              <w:sz w:val="30"/>
              <w:szCs w:val="30"/>
            </w:rPr>
            <w:t>13</w:t>
          </w:r>
          <w:r>
            <w:rPr>
              <w:rFonts w:ascii="楷体" w:hAnsi="楷体" w:eastAsia="楷体"/>
              <w:sz w:val="30"/>
              <w:szCs w:val="30"/>
            </w:rPr>
            <w:fldChar w:fldCharType="end"/>
          </w:r>
          <w:r>
            <w:rPr>
              <w:rFonts w:ascii="楷体" w:hAnsi="楷体" w:eastAsia="楷体"/>
              <w:sz w:val="30"/>
              <w:szCs w:val="30"/>
            </w:rPr>
            <w:fldChar w:fldCharType="end"/>
          </w:r>
        </w:p>
        <w:p>
          <w:pPr>
            <w:pStyle w:val="12"/>
            <w:tabs>
              <w:tab w:val="left" w:pos="1260"/>
            </w:tabs>
            <w:rPr>
              <w:rFonts w:ascii="楷体" w:hAnsi="楷体" w:eastAsia="楷体" w:cstheme="minorBidi"/>
              <w:sz w:val="30"/>
              <w:szCs w:val="30"/>
            </w:rPr>
          </w:pPr>
          <w:r>
            <w:fldChar w:fldCharType="begin"/>
          </w:r>
          <w:r>
            <w:instrText xml:space="preserve"> HYPERLINK \l "_Toc119056962" </w:instrText>
          </w:r>
          <w:r>
            <w:fldChar w:fldCharType="separate"/>
          </w:r>
          <w:r>
            <w:rPr>
              <w:rStyle w:val="18"/>
              <w:rFonts w:hint="eastAsia" w:ascii="楷体" w:hAnsi="楷体" w:eastAsia="楷体" w:cstheme="majorBidi"/>
              <w:bCs/>
              <w:sz w:val="30"/>
              <w:szCs w:val="30"/>
            </w:rPr>
            <w:t>一、</w:t>
          </w:r>
          <w:r>
            <w:rPr>
              <w:rFonts w:ascii="楷体" w:hAnsi="楷体" w:eastAsia="楷体" w:cstheme="minorBidi"/>
              <w:sz w:val="30"/>
              <w:szCs w:val="30"/>
            </w:rPr>
            <w:tab/>
          </w:r>
          <w:r>
            <w:rPr>
              <w:rStyle w:val="18"/>
              <w:rFonts w:hint="eastAsia" w:ascii="楷体" w:hAnsi="楷体" w:eastAsia="楷体"/>
              <w:sz w:val="30"/>
              <w:szCs w:val="30"/>
            </w:rPr>
            <w:t>收</w:t>
          </w:r>
          <w:r>
            <w:rPr>
              <w:rStyle w:val="18"/>
              <w:rFonts w:hint="eastAsia" w:ascii="楷体" w:hAnsi="楷体" w:eastAsia="楷体" w:cstheme="majorBidi"/>
              <w:bCs/>
              <w:sz w:val="30"/>
              <w:szCs w:val="30"/>
            </w:rPr>
            <w:t>入支出决算总体情况说明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_Toc119056962 \h </w:instrText>
          </w:r>
          <w:r>
            <w:rPr>
              <w:rFonts w:ascii="楷体" w:hAnsi="楷体" w:eastAsia="楷体"/>
              <w:sz w:val="30"/>
              <w:szCs w:val="30"/>
            </w:rPr>
            <w:fldChar w:fldCharType="separate"/>
          </w:r>
          <w:r>
            <w:rPr>
              <w:rFonts w:ascii="楷体" w:hAnsi="楷体" w:eastAsia="楷体"/>
              <w:sz w:val="30"/>
              <w:szCs w:val="30"/>
            </w:rPr>
            <w:t>13</w:t>
          </w:r>
          <w:r>
            <w:rPr>
              <w:rFonts w:ascii="楷体" w:hAnsi="楷体" w:eastAsia="楷体"/>
              <w:sz w:val="30"/>
              <w:szCs w:val="30"/>
            </w:rPr>
            <w:fldChar w:fldCharType="end"/>
          </w:r>
          <w:r>
            <w:rPr>
              <w:rFonts w:ascii="楷体" w:hAnsi="楷体" w:eastAsia="楷体"/>
              <w:sz w:val="30"/>
              <w:szCs w:val="30"/>
            </w:rPr>
            <w:fldChar w:fldCharType="end"/>
          </w:r>
        </w:p>
        <w:p>
          <w:pPr>
            <w:pStyle w:val="12"/>
            <w:tabs>
              <w:tab w:val="left" w:pos="1260"/>
            </w:tabs>
            <w:rPr>
              <w:rFonts w:ascii="楷体" w:hAnsi="楷体" w:eastAsia="楷体" w:cstheme="minorBidi"/>
              <w:sz w:val="30"/>
              <w:szCs w:val="30"/>
            </w:rPr>
          </w:pPr>
          <w:r>
            <w:fldChar w:fldCharType="begin"/>
          </w:r>
          <w:r>
            <w:instrText xml:space="preserve"> HYPERLINK \l "_Toc119056963" </w:instrText>
          </w:r>
          <w:r>
            <w:fldChar w:fldCharType="separate"/>
          </w:r>
          <w:r>
            <w:rPr>
              <w:rStyle w:val="18"/>
              <w:rFonts w:hint="eastAsia" w:ascii="楷体" w:hAnsi="楷体" w:eastAsia="楷体" w:cstheme="majorBidi"/>
              <w:bCs/>
              <w:sz w:val="30"/>
              <w:szCs w:val="30"/>
            </w:rPr>
            <w:t>二、</w:t>
          </w:r>
          <w:r>
            <w:rPr>
              <w:rFonts w:ascii="楷体" w:hAnsi="楷体" w:eastAsia="楷体" w:cstheme="minorBidi"/>
              <w:sz w:val="30"/>
              <w:szCs w:val="30"/>
            </w:rPr>
            <w:tab/>
          </w:r>
          <w:r>
            <w:rPr>
              <w:rStyle w:val="18"/>
              <w:rFonts w:hint="eastAsia" w:ascii="楷体" w:hAnsi="楷体" w:eastAsia="楷体"/>
              <w:sz w:val="30"/>
              <w:szCs w:val="30"/>
            </w:rPr>
            <w:t>收</w:t>
          </w:r>
          <w:r>
            <w:rPr>
              <w:rStyle w:val="18"/>
              <w:rFonts w:hint="eastAsia" w:ascii="楷体" w:hAnsi="楷体" w:eastAsia="楷体" w:cstheme="majorBidi"/>
              <w:bCs/>
              <w:sz w:val="30"/>
              <w:szCs w:val="30"/>
            </w:rPr>
            <w:t>入决算情况说明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_Toc119056963 \h </w:instrText>
          </w:r>
          <w:r>
            <w:rPr>
              <w:rFonts w:ascii="楷体" w:hAnsi="楷体" w:eastAsia="楷体"/>
              <w:sz w:val="30"/>
              <w:szCs w:val="30"/>
            </w:rPr>
            <w:fldChar w:fldCharType="separate"/>
          </w:r>
          <w:r>
            <w:rPr>
              <w:rFonts w:ascii="楷体" w:hAnsi="楷体" w:eastAsia="楷体"/>
              <w:sz w:val="30"/>
              <w:szCs w:val="30"/>
            </w:rPr>
            <w:t>13</w:t>
          </w:r>
          <w:r>
            <w:rPr>
              <w:rFonts w:ascii="楷体" w:hAnsi="楷体" w:eastAsia="楷体"/>
              <w:sz w:val="30"/>
              <w:szCs w:val="30"/>
            </w:rPr>
            <w:fldChar w:fldCharType="end"/>
          </w:r>
          <w:r>
            <w:rPr>
              <w:rFonts w:ascii="楷体" w:hAnsi="楷体" w:eastAsia="楷体"/>
              <w:sz w:val="30"/>
              <w:szCs w:val="30"/>
            </w:rPr>
            <w:fldChar w:fldCharType="end"/>
          </w:r>
        </w:p>
        <w:p>
          <w:pPr>
            <w:pStyle w:val="12"/>
            <w:tabs>
              <w:tab w:val="left" w:pos="1260"/>
            </w:tabs>
            <w:rPr>
              <w:rFonts w:ascii="楷体" w:hAnsi="楷体" w:eastAsia="楷体" w:cstheme="minorBidi"/>
              <w:sz w:val="30"/>
              <w:szCs w:val="30"/>
            </w:rPr>
          </w:pPr>
          <w:r>
            <w:fldChar w:fldCharType="begin"/>
          </w:r>
          <w:r>
            <w:instrText xml:space="preserve"> HYPERLINK \l "_Toc119056965" </w:instrText>
          </w:r>
          <w:r>
            <w:fldChar w:fldCharType="separate"/>
          </w:r>
          <w:r>
            <w:rPr>
              <w:rStyle w:val="18"/>
              <w:rFonts w:hint="eastAsia" w:ascii="楷体" w:hAnsi="楷体" w:eastAsia="楷体" w:cstheme="majorBidi"/>
              <w:bCs/>
              <w:sz w:val="30"/>
              <w:szCs w:val="30"/>
            </w:rPr>
            <w:t>三、</w:t>
          </w:r>
          <w:r>
            <w:rPr>
              <w:rFonts w:ascii="楷体" w:hAnsi="楷体" w:eastAsia="楷体" w:cstheme="minorBidi"/>
              <w:sz w:val="30"/>
              <w:szCs w:val="30"/>
            </w:rPr>
            <w:tab/>
          </w:r>
          <w:r>
            <w:rPr>
              <w:rStyle w:val="18"/>
              <w:rFonts w:hint="eastAsia" w:ascii="楷体" w:hAnsi="楷体" w:eastAsia="楷体"/>
              <w:sz w:val="30"/>
              <w:szCs w:val="30"/>
            </w:rPr>
            <w:t>支</w:t>
          </w:r>
          <w:r>
            <w:rPr>
              <w:rStyle w:val="18"/>
              <w:rFonts w:hint="eastAsia" w:ascii="楷体" w:hAnsi="楷体" w:eastAsia="楷体" w:cstheme="majorBidi"/>
              <w:bCs/>
              <w:sz w:val="30"/>
              <w:szCs w:val="30"/>
            </w:rPr>
            <w:t>出决算情况说明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_Toc119056965 \h </w:instrText>
          </w:r>
          <w:r>
            <w:rPr>
              <w:rFonts w:ascii="楷体" w:hAnsi="楷体" w:eastAsia="楷体"/>
              <w:sz w:val="30"/>
              <w:szCs w:val="30"/>
            </w:rPr>
            <w:fldChar w:fldCharType="separate"/>
          </w:r>
          <w:r>
            <w:rPr>
              <w:rFonts w:ascii="楷体" w:hAnsi="楷体" w:eastAsia="楷体"/>
              <w:sz w:val="30"/>
              <w:szCs w:val="30"/>
            </w:rPr>
            <w:t>14</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"_Toc119056967" </w:instrText>
          </w:r>
          <w:r>
            <w:fldChar w:fldCharType="separate"/>
          </w:r>
          <w:r>
            <w:rPr>
              <w:rStyle w:val="18"/>
              <w:rFonts w:hint="eastAsia" w:ascii="楷体" w:hAnsi="楷体" w:eastAsia="楷体"/>
              <w:sz w:val="30"/>
              <w:szCs w:val="30"/>
            </w:rPr>
            <w:t>四、财</w:t>
          </w:r>
          <w:r>
            <w:rPr>
              <w:rStyle w:val="18"/>
              <w:rFonts w:hint="eastAsia" w:ascii="楷体" w:hAnsi="楷体" w:eastAsia="楷体" w:cstheme="majorBidi"/>
              <w:bCs/>
              <w:sz w:val="30"/>
              <w:szCs w:val="30"/>
            </w:rPr>
            <w:t>政拨款收入支出决算总体情况说明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_Toc119056967 \h </w:instrText>
          </w:r>
          <w:r>
            <w:rPr>
              <w:rFonts w:ascii="楷体" w:hAnsi="楷体" w:eastAsia="楷体"/>
              <w:sz w:val="30"/>
              <w:szCs w:val="30"/>
            </w:rPr>
            <w:fldChar w:fldCharType="separate"/>
          </w:r>
          <w:r>
            <w:rPr>
              <w:rFonts w:ascii="楷体" w:hAnsi="楷体" w:eastAsia="楷体"/>
              <w:sz w:val="30"/>
              <w:szCs w:val="30"/>
            </w:rPr>
            <w:t>15</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"_Toc119056968" </w:instrText>
          </w:r>
          <w:r>
            <w:fldChar w:fldCharType="separate"/>
          </w:r>
          <w:r>
            <w:rPr>
              <w:rStyle w:val="18"/>
              <w:rFonts w:hint="eastAsia" w:ascii="楷体" w:hAnsi="楷体" w:eastAsia="楷体"/>
              <w:sz w:val="30"/>
              <w:szCs w:val="30"/>
            </w:rPr>
            <w:t>五、一</w:t>
          </w:r>
          <w:r>
            <w:rPr>
              <w:rStyle w:val="18"/>
              <w:rFonts w:hint="eastAsia" w:ascii="楷体" w:hAnsi="楷体" w:eastAsia="楷体" w:cstheme="majorBidi"/>
              <w:bCs/>
              <w:sz w:val="30"/>
              <w:szCs w:val="30"/>
            </w:rPr>
            <w:t>般公共预算财政拨款支出决算情况说明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_Toc119056968 \h </w:instrText>
          </w:r>
          <w:r>
            <w:rPr>
              <w:rFonts w:ascii="楷体" w:hAnsi="楷体" w:eastAsia="楷体"/>
              <w:sz w:val="30"/>
              <w:szCs w:val="30"/>
            </w:rPr>
            <w:fldChar w:fldCharType="separate"/>
          </w:r>
          <w:r>
            <w:rPr>
              <w:rFonts w:ascii="楷体" w:hAnsi="楷体" w:eastAsia="楷体"/>
              <w:sz w:val="30"/>
              <w:szCs w:val="30"/>
            </w:rPr>
            <w:t>15</w:t>
          </w:r>
          <w:r>
            <w:rPr>
              <w:rFonts w:ascii="楷体" w:hAnsi="楷体" w:eastAsia="楷体"/>
              <w:sz w:val="30"/>
              <w:szCs w:val="30"/>
            </w:rPr>
            <w:fldChar w:fldCharType="end"/>
          </w:r>
          <w:r>
            <w:rPr>
              <w:rFonts w:ascii="楷体" w:hAnsi="楷体" w:eastAsia="楷体"/>
              <w:sz w:val="30"/>
              <w:szCs w:val="30"/>
            </w:rPr>
            <w:fldChar w:fldCharType="end"/>
          </w:r>
        </w:p>
        <w:p>
          <w:pPr>
            <w:pStyle w:val="7"/>
            <w:rPr>
              <w:rFonts w:ascii="楷体" w:hAnsi="楷体" w:eastAsia="楷体" w:cstheme="minorBidi"/>
              <w:sz w:val="30"/>
              <w:szCs w:val="30"/>
            </w:rPr>
          </w:pPr>
          <w:r>
            <w:fldChar w:fldCharType="begin"/>
          </w:r>
          <w:r>
            <w:instrText xml:space="preserve"> HYPERLINK \l "_Toc119056969" </w:instrText>
          </w:r>
          <w:r>
            <w:fldChar w:fldCharType="separate"/>
          </w:r>
          <w:r>
            <w:rPr>
              <w:rStyle w:val="18"/>
              <w:rFonts w:hint="eastAsia" w:ascii="楷体" w:hAnsi="楷体" w:eastAsia="楷体"/>
              <w:sz w:val="30"/>
              <w:szCs w:val="30"/>
            </w:rPr>
            <w:t>（一）一般公共预算财政拨款支出决算总体情况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_Toc119056969 \h </w:instrText>
          </w:r>
          <w:r>
            <w:rPr>
              <w:rFonts w:ascii="楷体" w:hAnsi="楷体" w:eastAsia="楷体"/>
              <w:sz w:val="30"/>
              <w:szCs w:val="30"/>
            </w:rPr>
            <w:fldChar w:fldCharType="separate"/>
          </w:r>
          <w:r>
            <w:rPr>
              <w:rFonts w:ascii="楷体" w:hAnsi="楷体" w:eastAsia="楷体"/>
              <w:sz w:val="30"/>
              <w:szCs w:val="30"/>
            </w:rPr>
            <w:t>15</w:t>
          </w:r>
          <w:r>
            <w:rPr>
              <w:rFonts w:ascii="楷体" w:hAnsi="楷体" w:eastAsia="楷体"/>
              <w:sz w:val="30"/>
              <w:szCs w:val="30"/>
            </w:rPr>
            <w:fldChar w:fldCharType="end"/>
          </w:r>
          <w:r>
            <w:rPr>
              <w:rFonts w:ascii="楷体" w:hAnsi="楷体" w:eastAsia="楷体"/>
              <w:sz w:val="30"/>
              <w:szCs w:val="30"/>
            </w:rPr>
            <w:fldChar w:fldCharType="end"/>
          </w:r>
        </w:p>
        <w:p>
          <w:pPr>
            <w:pStyle w:val="7"/>
            <w:rPr>
              <w:rFonts w:ascii="楷体" w:hAnsi="楷体" w:eastAsia="楷体" w:cstheme="minorBidi"/>
              <w:sz w:val="30"/>
              <w:szCs w:val="30"/>
            </w:rPr>
          </w:pPr>
          <w:r>
            <w:fldChar w:fldCharType="begin"/>
          </w:r>
          <w:r>
            <w:instrText xml:space="preserve"> HYPERLINK \l "_Toc119056970" </w:instrText>
          </w:r>
          <w:r>
            <w:fldChar w:fldCharType="separate"/>
          </w:r>
          <w:r>
            <w:rPr>
              <w:rStyle w:val="18"/>
              <w:rFonts w:hint="eastAsia" w:ascii="楷体" w:hAnsi="楷体" w:eastAsia="楷体"/>
              <w:sz w:val="30"/>
              <w:szCs w:val="30"/>
            </w:rPr>
            <w:t>（二）一般公共预算财政拨款支出决算结构情况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_Toc119056970 \h </w:instrText>
          </w:r>
          <w:r>
            <w:rPr>
              <w:rFonts w:ascii="楷体" w:hAnsi="楷体" w:eastAsia="楷体"/>
              <w:sz w:val="30"/>
              <w:szCs w:val="30"/>
            </w:rPr>
            <w:fldChar w:fldCharType="separate"/>
          </w:r>
          <w:r>
            <w:rPr>
              <w:rFonts w:ascii="楷体" w:hAnsi="楷体" w:eastAsia="楷体"/>
              <w:sz w:val="30"/>
              <w:szCs w:val="30"/>
            </w:rPr>
            <w:t>16</w:t>
          </w:r>
          <w:r>
            <w:rPr>
              <w:rFonts w:ascii="楷体" w:hAnsi="楷体" w:eastAsia="楷体"/>
              <w:sz w:val="30"/>
              <w:szCs w:val="30"/>
            </w:rPr>
            <w:fldChar w:fldCharType="end"/>
          </w:r>
          <w:r>
            <w:rPr>
              <w:rFonts w:ascii="楷体" w:hAnsi="楷体" w:eastAsia="楷体"/>
              <w:sz w:val="30"/>
              <w:szCs w:val="30"/>
            </w:rPr>
            <w:fldChar w:fldCharType="end"/>
          </w:r>
        </w:p>
        <w:p>
          <w:pPr>
            <w:pStyle w:val="7"/>
            <w:rPr>
              <w:rFonts w:ascii="楷体" w:hAnsi="楷体" w:eastAsia="楷体" w:cstheme="minorBidi"/>
              <w:sz w:val="30"/>
              <w:szCs w:val="30"/>
            </w:rPr>
          </w:pPr>
          <w:r>
            <w:fldChar w:fldCharType="begin"/>
          </w:r>
          <w:r>
            <w:instrText xml:space="preserve"> HYPERLINK \l "_Toc119056971" </w:instrText>
          </w:r>
          <w:r>
            <w:fldChar w:fldCharType="separate"/>
          </w:r>
          <w:r>
            <w:rPr>
              <w:rStyle w:val="18"/>
              <w:rFonts w:hint="eastAsia" w:ascii="楷体" w:hAnsi="楷体" w:eastAsia="楷体"/>
              <w:sz w:val="30"/>
              <w:szCs w:val="30"/>
            </w:rPr>
            <w:t>（三）一般公共预算财政拨款支出决算具体情况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_Toc119056971 \h </w:instrText>
          </w:r>
          <w:r>
            <w:rPr>
              <w:rFonts w:ascii="楷体" w:hAnsi="楷体" w:eastAsia="楷体"/>
              <w:sz w:val="30"/>
              <w:szCs w:val="30"/>
            </w:rPr>
            <w:fldChar w:fldCharType="separate"/>
          </w:r>
          <w:r>
            <w:rPr>
              <w:rFonts w:ascii="楷体" w:hAnsi="楷体" w:eastAsia="楷体"/>
              <w:sz w:val="30"/>
              <w:szCs w:val="30"/>
            </w:rPr>
            <w:t>17</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"_Toc119056973" </w:instrText>
          </w:r>
          <w:r>
            <w:fldChar w:fldCharType="separate"/>
          </w:r>
          <w:r>
            <w:rPr>
              <w:rStyle w:val="18"/>
              <w:rFonts w:hint="eastAsia" w:ascii="楷体" w:hAnsi="楷体" w:eastAsia="楷体"/>
              <w:sz w:val="30"/>
              <w:szCs w:val="30"/>
            </w:rPr>
            <w:t>六、一</w:t>
          </w:r>
          <w:r>
            <w:rPr>
              <w:rStyle w:val="18"/>
              <w:rFonts w:hint="eastAsia" w:ascii="楷体" w:hAnsi="楷体" w:eastAsia="楷体" w:cstheme="majorBidi"/>
              <w:bCs/>
              <w:sz w:val="30"/>
              <w:szCs w:val="30"/>
            </w:rPr>
            <w:t>般公共预算财政拨款基本支出决算情况说明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_Toc119056973 \h </w:instrText>
          </w:r>
          <w:r>
            <w:rPr>
              <w:rFonts w:ascii="楷体" w:hAnsi="楷体" w:eastAsia="楷体"/>
              <w:sz w:val="30"/>
              <w:szCs w:val="30"/>
            </w:rPr>
            <w:fldChar w:fldCharType="separate"/>
          </w:r>
          <w:r>
            <w:rPr>
              <w:rFonts w:ascii="楷体" w:hAnsi="楷体" w:eastAsia="楷体"/>
              <w:sz w:val="30"/>
              <w:szCs w:val="30"/>
            </w:rPr>
            <w:t>17</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"_Toc119056974" </w:instrText>
          </w:r>
          <w:r>
            <w:fldChar w:fldCharType="separate"/>
          </w:r>
          <w:r>
            <w:rPr>
              <w:rStyle w:val="18"/>
              <w:rFonts w:hint="eastAsia" w:ascii="楷体" w:hAnsi="楷体" w:eastAsia="楷体"/>
              <w:sz w:val="30"/>
              <w:szCs w:val="30"/>
            </w:rPr>
            <w:t>七、</w:t>
          </w:r>
          <w:r>
            <w:rPr>
              <w:rStyle w:val="18"/>
              <w:rFonts w:ascii="楷体" w:hAnsi="楷体" w:eastAsia="楷体" w:cstheme="majorBidi"/>
              <w:bCs/>
              <w:sz w:val="30"/>
              <w:szCs w:val="30"/>
            </w:rPr>
            <w:t>“</w:t>
          </w:r>
          <w:r>
            <w:rPr>
              <w:rStyle w:val="18"/>
              <w:rFonts w:hint="eastAsia" w:ascii="楷体" w:hAnsi="楷体" w:eastAsia="楷体" w:cstheme="majorBidi"/>
              <w:bCs/>
              <w:sz w:val="30"/>
              <w:szCs w:val="30"/>
            </w:rPr>
            <w:t>三公”经费财政拨款支出决算情况说明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_Toc119056974 \h </w:instrText>
          </w:r>
          <w:r>
            <w:rPr>
              <w:rFonts w:ascii="楷体" w:hAnsi="楷体" w:eastAsia="楷体"/>
              <w:sz w:val="30"/>
              <w:szCs w:val="30"/>
            </w:rPr>
            <w:fldChar w:fldCharType="separate"/>
          </w:r>
          <w:r>
            <w:rPr>
              <w:rFonts w:ascii="楷体" w:hAnsi="楷体" w:eastAsia="楷体"/>
              <w:sz w:val="30"/>
              <w:szCs w:val="30"/>
            </w:rPr>
            <w:t>17</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"_Toc119056975" </w:instrText>
          </w:r>
          <w:r>
            <w:fldChar w:fldCharType="separate"/>
          </w:r>
          <w:r>
            <w:rPr>
              <w:rStyle w:val="18"/>
              <w:rFonts w:hint="eastAsia" w:ascii="楷体" w:hAnsi="楷体" w:eastAsia="楷体"/>
              <w:sz w:val="30"/>
              <w:szCs w:val="30"/>
            </w:rPr>
            <w:t>八、</w:t>
          </w:r>
          <w:r>
            <w:rPr>
              <w:rStyle w:val="18"/>
              <w:rFonts w:hint="eastAsia" w:ascii="楷体" w:hAnsi="楷体" w:eastAsia="楷体" w:cstheme="majorBidi"/>
              <w:bCs/>
              <w:sz w:val="30"/>
              <w:szCs w:val="30"/>
            </w:rPr>
            <w:t>政府性基金预算支出决算情况说明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_Toc119056975 \h </w:instrText>
          </w:r>
          <w:r>
            <w:rPr>
              <w:rFonts w:ascii="楷体" w:hAnsi="楷体" w:eastAsia="楷体"/>
              <w:sz w:val="30"/>
              <w:szCs w:val="30"/>
            </w:rPr>
            <w:fldChar w:fldCharType="separate"/>
          </w:r>
          <w:r>
            <w:rPr>
              <w:rFonts w:ascii="楷体" w:hAnsi="楷体" w:eastAsia="楷体"/>
              <w:sz w:val="30"/>
              <w:szCs w:val="30"/>
            </w:rPr>
            <w:t>18</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"_Toc119056976" </w:instrText>
          </w:r>
          <w:r>
            <w:fldChar w:fldCharType="separate"/>
          </w:r>
          <w:r>
            <w:rPr>
              <w:rStyle w:val="18"/>
              <w:rFonts w:hint="eastAsia" w:ascii="楷体" w:hAnsi="楷体" w:eastAsia="楷体" w:cstheme="majorBidi"/>
              <w:bCs/>
              <w:sz w:val="30"/>
              <w:szCs w:val="30"/>
            </w:rPr>
            <w:t>九、 国有资本经营预算支出决算情况说明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_Toc119056976 \h </w:instrText>
          </w:r>
          <w:r>
            <w:rPr>
              <w:rFonts w:ascii="楷体" w:hAnsi="楷体" w:eastAsia="楷体"/>
              <w:sz w:val="30"/>
              <w:szCs w:val="30"/>
            </w:rPr>
            <w:fldChar w:fldCharType="separate"/>
          </w:r>
          <w:r>
            <w:rPr>
              <w:rFonts w:ascii="楷体" w:hAnsi="楷体" w:eastAsia="楷体"/>
              <w:sz w:val="30"/>
              <w:szCs w:val="30"/>
            </w:rPr>
            <w:t>18</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"_Toc119056977" </w:instrText>
          </w:r>
          <w:r>
            <w:fldChar w:fldCharType="separate"/>
          </w:r>
          <w:r>
            <w:rPr>
              <w:rStyle w:val="18"/>
              <w:rFonts w:hint="eastAsia" w:ascii="楷体" w:hAnsi="楷体" w:eastAsia="楷体" w:cstheme="majorBidi"/>
              <w:bCs/>
              <w:sz w:val="30"/>
              <w:szCs w:val="30"/>
            </w:rPr>
            <w:t>十、 其他重要事项的情况说明</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_Toc119056977 \h </w:instrText>
          </w:r>
          <w:r>
            <w:rPr>
              <w:rFonts w:ascii="楷体" w:hAnsi="楷体" w:eastAsia="楷体"/>
              <w:sz w:val="30"/>
              <w:szCs w:val="30"/>
            </w:rPr>
            <w:fldChar w:fldCharType="separate"/>
          </w:r>
          <w:r>
            <w:rPr>
              <w:rFonts w:ascii="楷体" w:hAnsi="楷体" w:eastAsia="楷体"/>
              <w:sz w:val="30"/>
              <w:szCs w:val="30"/>
            </w:rPr>
            <w:t>18</w:t>
          </w:r>
          <w:r>
            <w:rPr>
              <w:rFonts w:ascii="楷体" w:hAnsi="楷体" w:eastAsia="楷体"/>
              <w:sz w:val="30"/>
              <w:szCs w:val="30"/>
            </w:rPr>
            <w:fldChar w:fldCharType="end"/>
          </w:r>
          <w:r>
            <w:rPr>
              <w:rFonts w:ascii="楷体" w:hAnsi="楷体" w:eastAsia="楷体"/>
              <w:sz w:val="30"/>
              <w:szCs w:val="30"/>
            </w:rPr>
            <w:fldChar w:fldCharType="end"/>
          </w:r>
        </w:p>
        <w:p>
          <w:pPr>
            <w:pStyle w:val="7"/>
            <w:rPr>
              <w:rFonts w:ascii="楷体" w:hAnsi="楷体" w:eastAsia="楷体" w:cstheme="minorBidi"/>
              <w:sz w:val="30"/>
              <w:szCs w:val="30"/>
            </w:rPr>
          </w:pPr>
          <w:r>
            <w:fldChar w:fldCharType="begin"/>
          </w:r>
          <w:r>
            <w:instrText xml:space="preserve"> HYPERLINK \l "_Toc119056978" </w:instrText>
          </w:r>
          <w:r>
            <w:fldChar w:fldCharType="separate"/>
          </w:r>
          <w:r>
            <w:rPr>
              <w:rStyle w:val="18"/>
              <w:rFonts w:hint="eastAsia" w:ascii="楷体" w:hAnsi="楷体" w:eastAsia="楷体"/>
              <w:sz w:val="30"/>
              <w:szCs w:val="30"/>
            </w:rPr>
            <w:t>（一）政府采购支出情况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_Toc119056978 \h </w:instrText>
          </w:r>
          <w:r>
            <w:rPr>
              <w:rFonts w:ascii="楷体" w:hAnsi="楷体" w:eastAsia="楷体"/>
              <w:sz w:val="30"/>
              <w:szCs w:val="30"/>
            </w:rPr>
            <w:fldChar w:fldCharType="separate"/>
          </w:r>
          <w:r>
            <w:rPr>
              <w:rFonts w:ascii="楷体" w:hAnsi="楷体" w:eastAsia="楷体"/>
              <w:sz w:val="30"/>
              <w:szCs w:val="30"/>
            </w:rPr>
            <w:t>18</w:t>
          </w:r>
          <w:r>
            <w:rPr>
              <w:rFonts w:ascii="楷体" w:hAnsi="楷体" w:eastAsia="楷体"/>
              <w:sz w:val="30"/>
              <w:szCs w:val="30"/>
            </w:rPr>
            <w:fldChar w:fldCharType="end"/>
          </w:r>
          <w:r>
            <w:rPr>
              <w:rFonts w:ascii="楷体" w:hAnsi="楷体" w:eastAsia="楷体"/>
              <w:sz w:val="30"/>
              <w:szCs w:val="30"/>
            </w:rPr>
            <w:fldChar w:fldCharType="end"/>
          </w:r>
        </w:p>
        <w:p>
          <w:pPr>
            <w:pStyle w:val="7"/>
            <w:rPr>
              <w:rFonts w:ascii="楷体" w:hAnsi="楷体" w:eastAsia="楷体" w:cstheme="minorBidi"/>
              <w:sz w:val="30"/>
              <w:szCs w:val="30"/>
            </w:rPr>
          </w:pPr>
          <w:r>
            <w:fldChar w:fldCharType="begin"/>
          </w:r>
          <w:r>
            <w:instrText xml:space="preserve"> HYPERLINK \l "_Toc119056979" </w:instrText>
          </w:r>
          <w:r>
            <w:fldChar w:fldCharType="separate"/>
          </w:r>
          <w:r>
            <w:rPr>
              <w:rStyle w:val="18"/>
              <w:rFonts w:hint="eastAsia" w:ascii="楷体" w:hAnsi="楷体" w:eastAsia="楷体"/>
              <w:sz w:val="30"/>
              <w:szCs w:val="30"/>
            </w:rPr>
            <w:t>（二）国有资产占有使用情况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_Toc119056979 \h </w:instrText>
          </w:r>
          <w:r>
            <w:rPr>
              <w:rFonts w:ascii="楷体" w:hAnsi="楷体" w:eastAsia="楷体"/>
              <w:sz w:val="30"/>
              <w:szCs w:val="30"/>
            </w:rPr>
            <w:fldChar w:fldCharType="separate"/>
          </w:r>
          <w:r>
            <w:rPr>
              <w:rFonts w:ascii="楷体" w:hAnsi="楷体" w:eastAsia="楷体"/>
              <w:sz w:val="30"/>
              <w:szCs w:val="30"/>
            </w:rPr>
            <w:t>18</w:t>
          </w:r>
          <w:r>
            <w:rPr>
              <w:rFonts w:ascii="楷体" w:hAnsi="楷体" w:eastAsia="楷体"/>
              <w:sz w:val="30"/>
              <w:szCs w:val="30"/>
            </w:rPr>
            <w:fldChar w:fldCharType="end"/>
          </w:r>
          <w:r>
            <w:rPr>
              <w:rFonts w:ascii="楷体" w:hAnsi="楷体" w:eastAsia="楷体"/>
              <w:sz w:val="30"/>
              <w:szCs w:val="30"/>
            </w:rPr>
            <w:fldChar w:fldCharType="end"/>
          </w:r>
        </w:p>
        <w:p>
          <w:pPr>
            <w:pStyle w:val="7"/>
            <w:rPr>
              <w:rFonts w:ascii="楷体" w:hAnsi="楷体" w:eastAsia="楷体" w:cstheme="minorBidi"/>
              <w:sz w:val="30"/>
              <w:szCs w:val="30"/>
            </w:rPr>
          </w:pPr>
          <w:r>
            <w:fldChar w:fldCharType="begin"/>
          </w:r>
          <w:r>
            <w:instrText xml:space="preserve"> HYPERLINK \l "_Toc119056980" </w:instrText>
          </w:r>
          <w:r>
            <w:fldChar w:fldCharType="separate"/>
          </w:r>
          <w:r>
            <w:rPr>
              <w:rStyle w:val="18"/>
              <w:rFonts w:hint="eastAsia" w:ascii="楷体" w:hAnsi="楷体" w:eastAsia="楷体"/>
              <w:sz w:val="30"/>
              <w:szCs w:val="30"/>
            </w:rPr>
            <w:t>（三）预算绩效管理情况</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_Toc119056980 \h </w:instrText>
          </w:r>
          <w:r>
            <w:rPr>
              <w:rFonts w:ascii="楷体" w:hAnsi="楷体" w:eastAsia="楷体"/>
              <w:sz w:val="30"/>
              <w:szCs w:val="30"/>
            </w:rPr>
            <w:fldChar w:fldCharType="separate"/>
          </w:r>
          <w:r>
            <w:rPr>
              <w:rFonts w:ascii="楷体" w:hAnsi="楷体" w:eastAsia="楷体"/>
              <w:sz w:val="30"/>
              <w:szCs w:val="30"/>
            </w:rPr>
            <w:t>18</w:t>
          </w:r>
          <w:r>
            <w:rPr>
              <w:rFonts w:ascii="楷体" w:hAnsi="楷体" w:eastAsia="楷体"/>
              <w:sz w:val="30"/>
              <w:szCs w:val="30"/>
            </w:rPr>
            <w:fldChar w:fldCharType="end"/>
          </w:r>
          <w:r>
            <w:rPr>
              <w:rFonts w:ascii="楷体" w:hAnsi="楷体" w:eastAsia="楷体"/>
              <w:sz w:val="30"/>
              <w:szCs w:val="30"/>
            </w:rPr>
            <w:fldChar w:fldCharType="end"/>
          </w:r>
        </w:p>
        <w:p>
          <w:pPr>
            <w:pStyle w:val="11"/>
            <w:rPr>
              <w:rFonts w:ascii="楷体" w:hAnsi="楷体" w:eastAsia="楷体" w:cstheme="minorBidi"/>
              <w:sz w:val="30"/>
              <w:szCs w:val="30"/>
            </w:rPr>
          </w:pPr>
          <w:r>
            <w:fldChar w:fldCharType="begin"/>
          </w:r>
          <w:r>
            <w:instrText xml:space="preserve"> HYPERLINK \l "_Toc119056981" </w:instrText>
          </w:r>
          <w:r>
            <w:fldChar w:fldCharType="separate"/>
          </w:r>
          <w:r>
            <w:rPr>
              <w:rStyle w:val="18"/>
              <w:rFonts w:hint="eastAsia" w:ascii="楷体" w:hAnsi="楷体" w:eastAsia="楷体" w:cs="黑体"/>
              <w:bCs/>
              <w:kern w:val="44"/>
              <w:sz w:val="30"/>
              <w:szCs w:val="30"/>
            </w:rPr>
            <w:t>第三部分</w:t>
          </w:r>
          <w:r>
            <w:rPr>
              <w:rStyle w:val="18"/>
              <w:rFonts w:hint="eastAsia" w:ascii="楷体" w:hAnsi="楷体" w:eastAsia="楷体"/>
              <w:sz w:val="30"/>
              <w:szCs w:val="30"/>
            </w:rPr>
            <w:t xml:space="preserve"> 名</w:t>
          </w:r>
          <w:r>
            <w:rPr>
              <w:rStyle w:val="18"/>
              <w:rFonts w:hint="eastAsia" w:ascii="楷体" w:hAnsi="楷体" w:eastAsia="楷体"/>
              <w:bCs/>
              <w:kern w:val="44"/>
              <w:sz w:val="30"/>
              <w:szCs w:val="30"/>
            </w:rPr>
            <w:t>词解释</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_Toc119056981 \h </w:instrText>
          </w:r>
          <w:r>
            <w:rPr>
              <w:rFonts w:ascii="楷体" w:hAnsi="楷体" w:eastAsia="楷体"/>
              <w:sz w:val="30"/>
              <w:szCs w:val="30"/>
            </w:rPr>
            <w:fldChar w:fldCharType="separate"/>
          </w:r>
          <w:r>
            <w:rPr>
              <w:rFonts w:ascii="楷体" w:hAnsi="楷体" w:eastAsia="楷体"/>
              <w:sz w:val="30"/>
              <w:szCs w:val="30"/>
            </w:rPr>
            <w:t>26</w:t>
          </w:r>
          <w:r>
            <w:rPr>
              <w:rFonts w:ascii="楷体" w:hAnsi="楷体" w:eastAsia="楷体"/>
              <w:sz w:val="30"/>
              <w:szCs w:val="30"/>
            </w:rPr>
            <w:fldChar w:fldCharType="end"/>
          </w:r>
          <w:r>
            <w:rPr>
              <w:rFonts w:ascii="楷体" w:hAnsi="楷体" w:eastAsia="楷体"/>
              <w:sz w:val="30"/>
              <w:szCs w:val="30"/>
            </w:rPr>
            <w:fldChar w:fldCharType="end"/>
          </w:r>
        </w:p>
        <w:p>
          <w:pPr>
            <w:pStyle w:val="11"/>
            <w:rPr>
              <w:rFonts w:ascii="楷体" w:hAnsi="楷体" w:eastAsia="楷体" w:cstheme="minorBidi"/>
              <w:sz w:val="30"/>
              <w:szCs w:val="30"/>
            </w:rPr>
          </w:pPr>
          <w:r>
            <w:fldChar w:fldCharType="begin"/>
          </w:r>
          <w:r>
            <w:instrText xml:space="preserve"> HYPERLINK \l "_Toc119056982" </w:instrText>
          </w:r>
          <w:r>
            <w:fldChar w:fldCharType="separate"/>
          </w:r>
          <w:r>
            <w:rPr>
              <w:rStyle w:val="18"/>
              <w:rFonts w:hint="eastAsia" w:ascii="楷体" w:hAnsi="楷体" w:eastAsia="楷体"/>
              <w:sz w:val="30"/>
              <w:szCs w:val="30"/>
            </w:rPr>
            <w:t>第</w:t>
          </w:r>
          <w:r>
            <w:rPr>
              <w:rStyle w:val="18"/>
              <w:rFonts w:hint="eastAsia" w:ascii="楷体" w:hAnsi="楷体" w:eastAsia="楷体"/>
              <w:bCs/>
              <w:kern w:val="44"/>
              <w:sz w:val="30"/>
              <w:szCs w:val="30"/>
            </w:rPr>
            <w:t>四部分</w:t>
          </w:r>
          <w:r>
            <w:rPr>
              <w:rStyle w:val="18"/>
              <w:rFonts w:ascii="楷体" w:hAnsi="楷体" w:eastAsia="楷体"/>
              <w:bCs/>
              <w:kern w:val="44"/>
              <w:sz w:val="30"/>
              <w:szCs w:val="30"/>
            </w:rPr>
            <w:t xml:space="preserve"> </w:t>
          </w:r>
          <w:r>
            <w:rPr>
              <w:rStyle w:val="18"/>
              <w:rFonts w:hint="eastAsia" w:ascii="楷体" w:hAnsi="楷体" w:eastAsia="楷体"/>
              <w:bCs/>
              <w:kern w:val="44"/>
              <w:sz w:val="30"/>
              <w:szCs w:val="30"/>
            </w:rPr>
            <w:t>附件</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_Toc119056982 \h </w:instrText>
          </w:r>
          <w:r>
            <w:rPr>
              <w:rFonts w:ascii="楷体" w:hAnsi="楷体" w:eastAsia="楷体"/>
              <w:sz w:val="30"/>
              <w:szCs w:val="30"/>
            </w:rPr>
            <w:fldChar w:fldCharType="separate"/>
          </w:r>
          <w:r>
            <w:rPr>
              <w:rFonts w:ascii="楷体" w:hAnsi="楷体" w:eastAsia="楷体"/>
              <w:sz w:val="30"/>
              <w:szCs w:val="30"/>
            </w:rPr>
            <w:t>28</w:t>
          </w:r>
          <w:r>
            <w:rPr>
              <w:rFonts w:ascii="楷体" w:hAnsi="楷体" w:eastAsia="楷体"/>
              <w:sz w:val="30"/>
              <w:szCs w:val="30"/>
            </w:rPr>
            <w:fldChar w:fldCharType="end"/>
          </w:r>
          <w:r>
            <w:rPr>
              <w:rFonts w:ascii="楷体" w:hAnsi="楷体" w:eastAsia="楷体"/>
              <w:sz w:val="30"/>
              <w:szCs w:val="30"/>
            </w:rPr>
            <w:fldChar w:fldCharType="end"/>
          </w:r>
        </w:p>
        <w:p>
          <w:pPr>
            <w:pStyle w:val="11"/>
            <w:rPr>
              <w:rFonts w:ascii="楷体" w:hAnsi="楷体" w:eastAsia="楷体" w:cstheme="minorBidi"/>
              <w:sz w:val="30"/>
              <w:szCs w:val="30"/>
            </w:rPr>
          </w:pPr>
          <w:r>
            <w:fldChar w:fldCharType="begin"/>
          </w:r>
          <w:r>
            <w:instrText xml:space="preserve"> HYPERLINK \l "_Toc119056983" </w:instrText>
          </w:r>
          <w:r>
            <w:fldChar w:fldCharType="separate"/>
          </w:r>
          <w:r>
            <w:rPr>
              <w:rStyle w:val="18"/>
              <w:rFonts w:hint="eastAsia" w:ascii="楷体" w:hAnsi="楷体" w:eastAsia="楷体"/>
              <w:sz w:val="30"/>
              <w:szCs w:val="30"/>
            </w:rPr>
            <w:t>第</w:t>
          </w:r>
          <w:r>
            <w:rPr>
              <w:rStyle w:val="18"/>
              <w:rFonts w:hint="eastAsia" w:ascii="楷体" w:hAnsi="楷体" w:eastAsia="楷体"/>
              <w:bCs/>
              <w:kern w:val="44"/>
              <w:sz w:val="30"/>
              <w:szCs w:val="30"/>
            </w:rPr>
            <w:t>五部分</w:t>
          </w:r>
          <w:r>
            <w:rPr>
              <w:rStyle w:val="18"/>
              <w:rFonts w:ascii="楷体" w:hAnsi="楷体" w:eastAsia="楷体"/>
              <w:bCs/>
              <w:kern w:val="44"/>
              <w:sz w:val="30"/>
              <w:szCs w:val="30"/>
            </w:rPr>
            <w:t xml:space="preserve"> </w:t>
          </w:r>
          <w:r>
            <w:rPr>
              <w:rStyle w:val="18"/>
              <w:rFonts w:hint="eastAsia" w:ascii="楷体" w:hAnsi="楷体" w:eastAsia="楷体"/>
              <w:bCs/>
              <w:kern w:val="44"/>
              <w:sz w:val="30"/>
              <w:szCs w:val="30"/>
            </w:rPr>
            <w:t>附表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_Toc119056983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"_Toc119056984" </w:instrText>
          </w:r>
          <w:r>
            <w:fldChar w:fldCharType="separate"/>
          </w:r>
          <w:r>
            <w:rPr>
              <w:rStyle w:val="18"/>
              <w:rFonts w:hint="eastAsia" w:ascii="楷体" w:hAnsi="楷体" w:eastAsia="楷体"/>
              <w:sz w:val="30"/>
              <w:szCs w:val="30"/>
            </w:rPr>
            <w:t>一、收入支出决算总表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_Toc119056984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"_Toc119056985" </w:instrText>
          </w:r>
          <w:r>
            <w:fldChar w:fldCharType="separate"/>
          </w:r>
          <w:r>
            <w:rPr>
              <w:rStyle w:val="18"/>
              <w:rFonts w:hint="eastAsia" w:ascii="楷体" w:hAnsi="楷体" w:eastAsia="楷体"/>
              <w:sz w:val="30"/>
              <w:szCs w:val="30"/>
            </w:rPr>
            <w:t>二、收入决算表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_Toc119056985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"_Toc119056986" </w:instrText>
          </w:r>
          <w:r>
            <w:fldChar w:fldCharType="separate"/>
          </w:r>
          <w:r>
            <w:rPr>
              <w:rStyle w:val="18"/>
              <w:rFonts w:hint="eastAsia" w:ascii="楷体" w:hAnsi="楷体" w:eastAsia="楷体"/>
              <w:sz w:val="30"/>
              <w:szCs w:val="30"/>
            </w:rPr>
            <w:t>三、支出决算表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_Toc119056986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"_Toc119056987" </w:instrText>
          </w:r>
          <w:r>
            <w:fldChar w:fldCharType="separate"/>
          </w:r>
          <w:r>
            <w:rPr>
              <w:rStyle w:val="18"/>
              <w:rFonts w:hint="eastAsia" w:ascii="楷体" w:hAnsi="楷体" w:eastAsia="楷体"/>
              <w:sz w:val="30"/>
              <w:szCs w:val="30"/>
            </w:rPr>
            <w:t>四、财政拨款收入支出决算总表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_Toc119056987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"_Toc119056988" </w:instrText>
          </w:r>
          <w:r>
            <w:fldChar w:fldCharType="separate"/>
          </w:r>
          <w:r>
            <w:rPr>
              <w:rStyle w:val="18"/>
              <w:rFonts w:hint="eastAsia" w:ascii="楷体" w:hAnsi="楷体" w:eastAsia="楷体"/>
              <w:sz w:val="30"/>
              <w:szCs w:val="30"/>
            </w:rPr>
            <w:t>五、财政拨款支出决算明细表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_Toc119056988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"_Toc119056989" </w:instrText>
          </w:r>
          <w:r>
            <w:fldChar w:fldCharType="separate"/>
          </w:r>
          <w:r>
            <w:rPr>
              <w:rStyle w:val="18"/>
              <w:rFonts w:hint="eastAsia" w:ascii="楷体" w:hAnsi="楷体" w:eastAsia="楷体"/>
              <w:sz w:val="30"/>
              <w:szCs w:val="30"/>
            </w:rPr>
            <w:t>六、一般公共预算财政拨款支出决算表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_Toc119056989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"_Toc119056990" </w:instrText>
          </w:r>
          <w:r>
            <w:fldChar w:fldCharType="separate"/>
          </w:r>
          <w:r>
            <w:rPr>
              <w:rStyle w:val="18"/>
              <w:rFonts w:hint="eastAsia" w:ascii="楷体" w:hAnsi="楷体" w:eastAsia="楷体"/>
              <w:sz w:val="30"/>
              <w:szCs w:val="30"/>
            </w:rPr>
            <w:t>七、一般公共预算财政拨款支出决算明细表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_Toc119056990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"_Toc119056991" </w:instrText>
          </w:r>
          <w:r>
            <w:fldChar w:fldCharType="separate"/>
          </w:r>
          <w:r>
            <w:rPr>
              <w:rStyle w:val="18"/>
              <w:rFonts w:hint="eastAsia" w:ascii="楷体" w:hAnsi="楷体" w:eastAsia="楷体"/>
              <w:sz w:val="30"/>
              <w:szCs w:val="30"/>
            </w:rPr>
            <w:t>八、一般公共预算财政拨款基本支出决算表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_Toc119056991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"_Toc119056992" </w:instrText>
          </w:r>
          <w:r>
            <w:fldChar w:fldCharType="separate"/>
          </w:r>
          <w:r>
            <w:rPr>
              <w:rStyle w:val="18"/>
              <w:rFonts w:hint="eastAsia" w:ascii="楷体" w:hAnsi="楷体" w:eastAsia="楷体"/>
              <w:sz w:val="30"/>
              <w:szCs w:val="30"/>
            </w:rPr>
            <w:t>九、一般公共预算财政拨款项目支出决算表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_Toc119056992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"_Toc119056993" </w:instrText>
          </w:r>
          <w:r>
            <w:fldChar w:fldCharType="separate"/>
          </w:r>
          <w:r>
            <w:rPr>
              <w:rStyle w:val="18"/>
              <w:rFonts w:hint="eastAsia" w:ascii="楷体" w:hAnsi="楷体" w:eastAsia="楷体"/>
              <w:sz w:val="30"/>
              <w:szCs w:val="30"/>
            </w:rPr>
            <w:t>十、一般公共预算财政拨款“三公”经费支出决算表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_Toc119056993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"_Toc119056994" </w:instrText>
          </w:r>
          <w:r>
            <w:fldChar w:fldCharType="separate"/>
          </w:r>
          <w:r>
            <w:rPr>
              <w:rStyle w:val="18"/>
              <w:rFonts w:hint="eastAsia" w:ascii="楷体" w:hAnsi="楷体" w:eastAsia="楷体"/>
              <w:sz w:val="30"/>
              <w:szCs w:val="30"/>
            </w:rPr>
            <w:t>十一、政府性基金预算财政拨款收入支出决算表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_Toc119056994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"_Toc119056995" </w:instrText>
          </w:r>
          <w:r>
            <w:fldChar w:fldCharType="separate"/>
          </w:r>
          <w:r>
            <w:rPr>
              <w:rStyle w:val="18"/>
              <w:rFonts w:hint="eastAsia" w:ascii="楷体" w:hAnsi="楷体" w:eastAsia="楷体"/>
              <w:sz w:val="30"/>
              <w:szCs w:val="30"/>
            </w:rPr>
            <w:t>十二、政府性基金预算财政拨款“三公”经费支出决算表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_Toc119056995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"_Toc119056996" </w:instrText>
          </w:r>
          <w:r>
            <w:fldChar w:fldCharType="separate"/>
          </w:r>
          <w:r>
            <w:rPr>
              <w:rStyle w:val="18"/>
              <w:rFonts w:hint="eastAsia" w:ascii="楷体" w:hAnsi="楷体" w:eastAsia="楷体"/>
              <w:sz w:val="30"/>
              <w:szCs w:val="30"/>
            </w:rPr>
            <w:t>十三、国有资本经营预算财政拨款收入支出决算表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_Toc119056996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pStyle w:val="12"/>
            <w:rPr>
              <w:rFonts w:ascii="楷体" w:hAnsi="楷体" w:eastAsia="楷体" w:cstheme="minorBidi"/>
              <w:sz w:val="30"/>
              <w:szCs w:val="30"/>
            </w:rPr>
          </w:pPr>
          <w:r>
            <w:fldChar w:fldCharType="begin"/>
          </w:r>
          <w:r>
            <w:instrText xml:space="preserve"> HYPERLINK \l "_Toc119056997" </w:instrText>
          </w:r>
          <w:r>
            <w:fldChar w:fldCharType="separate"/>
          </w:r>
          <w:r>
            <w:rPr>
              <w:rStyle w:val="18"/>
              <w:rFonts w:hint="eastAsia" w:ascii="楷体" w:hAnsi="楷体" w:eastAsia="楷体"/>
              <w:sz w:val="30"/>
              <w:szCs w:val="30"/>
            </w:rPr>
            <w:t>十四、国有资本经营预算财政拨款支出决算表</w:t>
          </w:r>
          <w:r>
            <w:rPr>
              <w:rFonts w:ascii="楷体" w:hAnsi="楷体" w:eastAsia="楷体"/>
              <w:sz w:val="30"/>
              <w:szCs w:val="30"/>
            </w:rPr>
            <w:tab/>
          </w:r>
          <w:r>
            <w:rPr>
              <w:rFonts w:ascii="楷体" w:hAnsi="楷体" w:eastAsia="楷体"/>
              <w:sz w:val="30"/>
              <w:szCs w:val="30"/>
            </w:rPr>
            <w:fldChar w:fldCharType="begin"/>
          </w:r>
          <w:r>
            <w:rPr>
              <w:rFonts w:ascii="楷体" w:hAnsi="楷体" w:eastAsia="楷体"/>
              <w:sz w:val="30"/>
              <w:szCs w:val="30"/>
            </w:rPr>
            <w:instrText xml:space="preserve"> PAGEREF _Toc119056997 \h </w:instrText>
          </w:r>
          <w:r>
            <w:rPr>
              <w:rFonts w:ascii="楷体" w:hAnsi="楷体" w:eastAsia="楷体"/>
              <w:sz w:val="30"/>
              <w:szCs w:val="30"/>
            </w:rPr>
            <w:fldChar w:fldCharType="separate"/>
          </w:r>
          <w:r>
            <w:rPr>
              <w:rFonts w:ascii="楷体" w:hAnsi="楷体" w:eastAsia="楷体"/>
              <w:sz w:val="30"/>
              <w:szCs w:val="30"/>
            </w:rPr>
            <w:t>41</w:t>
          </w:r>
          <w:r>
            <w:rPr>
              <w:rFonts w:ascii="楷体" w:hAnsi="楷体" w:eastAsia="楷体"/>
              <w:sz w:val="30"/>
              <w:szCs w:val="30"/>
            </w:rPr>
            <w:fldChar w:fldCharType="end"/>
          </w:r>
          <w:r>
            <w:rPr>
              <w:rFonts w:ascii="楷体" w:hAnsi="楷体" w:eastAsia="楷体"/>
              <w:sz w:val="30"/>
              <w:szCs w:val="30"/>
            </w:rPr>
            <w:fldChar w:fldCharType="end"/>
          </w:r>
        </w:p>
        <w:p>
          <w:pPr>
            <w:rPr>
              <w:rFonts w:ascii="楷体" w:hAnsi="楷体" w:eastAsia="楷体"/>
              <w:sz w:val="30"/>
              <w:szCs w:val="30"/>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r>
            <w:rPr>
              <w:rFonts w:ascii="楷体" w:hAnsi="楷体" w:eastAsia="楷体"/>
              <w:bCs/>
              <w:sz w:val="30"/>
              <w:szCs w:val="30"/>
              <w:lang w:val="zh-CN"/>
            </w:rPr>
            <w:fldChar w:fldCharType="end"/>
          </w:r>
        </w:p>
      </w:sdtContent>
    </w:sdt>
    <w:p>
      <w:pPr>
        <w:pStyle w:val="3"/>
        <w:jc w:val="center"/>
        <w:rPr>
          <w:rStyle w:val="28"/>
          <w:rFonts w:ascii="黑体" w:hAnsi="黑体" w:eastAsia="黑体"/>
          <w:b/>
          <w:bCs w:val="0"/>
        </w:rPr>
      </w:pPr>
      <w:bookmarkStart w:id="24" w:name="_Toc15396599"/>
      <w:bookmarkStart w:id="25" w:name="_Toc15377196"/>
      <w:bookmarkStart w:id="26" w:name="_Toc119056957"/>
      <w:r>
        <w:rPr>
          <w:rFonts w:hint="eastAsia" w:ascii="黑体" w:hAnsi="黑体" w:eastAsia="黑体"/>
          <w:b w:val="0"/>
        </w:rPr>
        <w:t>第一部分 单位</w:t>
      </w:r>
      <w:r>
        <w:rPr>
          <w:rStyle w:val="28"/>
          <w:rFonts w:hint="eastAsia" w:ascii="黑体" w:hAnsi="黑体" w:eastAsia="黑体"/>
          <w:b w:val="0"/>
          <w:bCs w:val="0"/>
        </w:rPr>
        <w:t>概况</w:t>
      </w:r>
      <w:bookmarkEnd w:id="24"/>
      <w:bookmarkEnd w:id="25"/>
      <w:bookmarkEnd w:id="26"/>
    </w:p>
    <w:p>
      <w:pPr>
        <w:widowControl/>
        <w:jc w:val="left"/>
        <w:rPr>
          <w:rFonts w:ascii="黑体" w:eastAsia="黑体"/>
          <w:sz w:val="32"/>
          <w:szCs w:val="32"/>
        </w:rPr>
      </w:pPr>
    </w:p>
    <w:p>
      <w:pPr>
        <w:pStyle w:val="4"/>
        <w:numPr>
          <w:ilvl w:val="0"/>
          <w:numId w:val="1"/>
        </w:numPr>
        <w:rPr>
          <w:rStyle w:val="29"/>
          <w:rFonts w:ascii="黑体" w:hAnsi="黑体" w:eastAsia="黑体"/>
          <w:b w:val="0"/>
          <w:bCs w:val="0"/>
        </w:rPr>
      </w:pPr>
      <w:bookmarkStart w:id="27" w:name="_Toc119056958"/>
      <w:bookmarkStart w:id="28" w:name="_Toc15377197"/>
      <w:bookmarkStart w:id="29" w:name="_Toc15396600"/>
      <w:r>
        <w:rPr>
          <w:rStyle w:val="29"/>
          <w:rFonts w:hint="eastAsia" w:ascii="黑体" w:hAnsi="黑体" w:eastAsia="黑体"/>
          <w:b w:val="0"/>
          <w:bCs w:val="0"/>
        </w:rPr>
        <w:t>职能简介</w:t>
      </w:r>
      <w:bookmarkEnd w:id="27"/>
    </w:p>
    <w:p>
      <w:pPr>
        <w:ind w:firstLine="640" w:firstLineChars="200"/>
        <w:jc w:val="left"/>
        <w:rPr>
          <w:rFonts w:ascii="仿宋" w:hAnsi="仿宋" w:eastAsia="仿宋"/>
          <w:sz w:val="32"/>
          <w:szCs w:val="32"/>
        </w:rPr>
      </w:pPr>
      <w:r>
        <w:rPr>
          <w:rFonts w:hint="eastAsia" w:ascii="仿宋" w:hAnsi="仿宋" w:eastAsia="仿宋"/>
          <w:sz w:val="32"/>
          <w:szCs w:val="32"/>
        </w:rPr>
        <w:t>四川矿产机电技师学院是四川省地质矿产勘查开发局下属事业单位，其主要职责是：培养中专学历技术人才和高级工及技师技能人才，促进经济发展。从事中专工科、文科学历教育与其他院校联办大专学历教育为国土资源及地勘行业系统和企业在职职工培训职业技术等级培训、颁证。</w:t>
      </w:r>
    </w:p>
    <w:p>
      <w:pPr>
        <w:pStyle w:val="4"/>
        <w:numPr>
          <w:ilvl w:val="0"/>
          <w:numId w:val="1"/>
        </w:numPr>
        <w:rPr>
          <w:rFonts w:ascii="黑体" w:hAnsi="黑体" w:eastAsia="黑体"/>
          <w:b w:val="0"/>
        </w:rPr>
      </w:pPr>
      <w:bookmarkStart w:id="30" w:name="_Toc119056959"/>
      <w:r>
        <w:rPr>
          <w:rFonts w:hint="eastAsia" w:ascii="黑体" w:hAnsi="黑体" w:eastAsia="黑体"/>
          <w:b w:val="0"/>
        </w:rPr>
        <w:t>2020年重点工作</w:t>
      </w:r>
      <w:bookmarkEnd w:id="28"/>
      <w:bookmarkEnd w:id="29"/>
      <w:r>
        <w:rPr>
          <w:rFonts w:hint="eastAsia" w:ascii="黑体" w:hAnsi="黑体" w:eastAsia="黑体"/>
          <w:b w:val="0"/>
        </w:rPr>
        <w:t>完成情况</w:t>
      </w:r>
      <w:bookmarkEnd w:id="30"/>
      <w:bookmarkStart w:id="31" w:name="_Toc15377204"/>
      <w:bookmarkStart w:id="32" w:name="_Toc15396602"/>
    </w:p>
    <w:p>
      <w:pPr>
        <w:widowControl/>
        <w:ind w:firstLine="640" w:firstLineChars="200"/>
        <w:jc w:val="left"/>
        <w:rPr>
          <w:rFonts w:ascii="仿宋" w:hAnsi="仿宋" w:eastAsia="仿宋"/>
          <w:sz w:val="32"/>
          <w:szCs w:val="32"/>
        </w:rPr>
      </w:pPr>
      <w:r>
        <w:rPr>
          <w:rFonts w:hint="eastAsia" w:ascii="仿宋" w:hAnsi="仿宋" w:eastAsia="仿宋"/>
          <w:sz w:val="32"/>
          <w:szCs w:val="32"/>
        </w:rPr>
        <w:t>在</w:t>
      </w:r>
      <w:r>
        <w:rPr>
          <w:rFonts w:ascii="仿宋" w:hAnsi="仿宋" w:eastAsia="仿宋"/>
          <w:sz w:val="32"/>
          <w:szCs w:val="32"/>
        </w:rPr>
        <w:t>全面建成小康社会和“十三五”规划收官之年，</w:t>
      </w:r>
      <w:r>
        <w:rPr>
          <w:rFonts w:hint="eastAsia" w:ascii="仿宋" w:hAnsi="仿宋" w:eastAsia="仿宋"/>
          <w:sz w:val="32"/>
          <w:szCs w:val="32"/>
        </w:rPr>
        <w:t>学院</w:t>
      </w:r>
      <w:r>
        <w:rPr>
          <w:rFonts w:ascii="仿宋" w:hAnsi="仿宋" w:eastAsia="仿宋"/>
          <w:sz w:val="32"/>
          <w:szCs w:val="32"/>
        </w:rPr>
        <w:t>以习近平新时代中国特色社会主义思想为指导，全面贯彻党的十九大和十九届四中</w:t>
      </w:r>
      <w:r>
        <w:rPr>
          <w:rFonts w:hint="eastAsia" w:ascii="仿宋" w:hAnsi="仿宋" w:eastAsia="仿宋"/>
          <w:sz w:val="32"/>
          <w:szCs w:val="32"/>
        </w:rPr>
        <w:t>、五中</w:t>
      </w:r>
      <w:r>
        <w:rPr>
          <w:rFonts w:ascii="仿宋" w:hAnsi="仿宋" w:eastAsia="仿宋"/>
          <w:sz w:val="32"/>
          <w:szCs w:val="32"/>
        </w:rPr>
        <w:t>全会精神</w:t>
      </w:r>
      <w:r>
        <w:rPr>
          <w:rFonts w:hint="eastAsia" w:ascii="仿宋" w:hAnsi="仿宋" w:eastAsia="仿宋"/>
          <w:sz w:val="32"/>
          <w:szCs w:val="32"/>
        </w:rPr>
        <w:t>，认真学习省委十一届七次、八次全会精神，紧紧围绕局党委第二次党代会精神，按照“五个地矿”建设思路，全力推进“地质+”“互联网+地质”战略，在局党委坚强领导下，</w:t>
      </w:r>
      <w:r>
        <w:rPr>
          <w:rFonts w:ascii="仿宋" w:hAnsi="仿宋" w:eastAsia="仿宋"/>
          <w:sz w:val="32"/>
          <w:szCs w:val="32"/>
        </w:rPr>
        <w:t>以新发展理念引领高质量发展</w:t>
      </w:r>
      <w:r>
        <w:rPr>
          <w:rFonts w:hint="eastAsia" w:ascii="仿宋" w:hAnsi="仿宋" w:eastAsia="仿宋"/>
          <w:sz w:val="32"/>
          <w:szCs w:val="32"/>
        </w:rPr>
        <w:t>，毫不动摇抓实党的建设和脱贫攻坚，全面抗击新冠疫情，融入成渝双城经济圈建设，深化改革，继续拓展多元发展空间，深化产教融合、教育教学成效显著，圆满完成2020年工作任务。</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（一）把政治建设摆在首位，认真落实党建工作。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院党委认真落实中央、省委和局党委要求，把政治建设摆在首位，坚持党要管党、全面从严治党，明确目标任务，坚决做到“两个维护”，不断强化理论武装，取得较好成绩。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1.扎实做好局巡察整改工作。针对局巡察工作反馈的</w:t>
      </w:r>
      <w:r>
        <w:rPr>
          <w:rFonts w:ascii="仿宋" w:hAnsi="仿宋" w:eastAsia="仿宋"/>
          <w:sz w:val="32"/>
          <w:szCs w:val="32"/>
        </w:rPr>
        <w:t>8个方面</w:t>
      </w:r>
      <w:r>
        <w:rPr>
          <w:rFonts w:hint="eastAsia" w:ascii="仿宋" w:hAnsi="仿宋" w:eastAsia="仿宋"/>
          <w:sz w:val="32"/>
          <w:szCs w:val="32"/>
        </w:rPr>
        <w:t>4</w:t>
      </w:r>
      <w:r>
        <w:rPr>
          <w:rFonts w:ascii="仿宋" w:hAnsi="仿宋" w:eastAsia="仿宋"/>
          <w:sz w:val="32"/>
          <w:szCs w:val="32"/>
        </w:rPr>
        <w:t>3</w:t>
      </w:r>
      <w:r>
        <w:rPr>
          <w:rFonts w:hint="eastAsia" w:ascii="仿宋" w:hAnsi="仿宋" w:eastAsia="仿宋"/>
          <w:sz w:val="32"/>
          <w:szCs w:val="32"/>
        </w:rPr>
        <w:t>个具体问题</w:t>
      </w:r>
      <w:r>
        <w:rPr>
          <w:rFonts w:ascii="仿宋" w:hAnsi="仿宋" w:eastAsia="仿宋"/>
          <w:sz w:val="32"/>
          <w:szCs w:val="32"/>
        </w:rPr>
        <w:t>，</w:t>
      </w:r>
      <w:r>
        <w:rPr>
          <w:rFonts w:hint="eastAsia" w:ascii="仿宋" w:hAnsi="仿宋" w:eastAsia="仿宋"/>
          <w:sz w:val="32"/>
          <w:szCs w:val="32"/>
        </w:rPr>
        <w:t>形成</w:t>
      </w:r>
      <w:r>
        <w:rPr>
          <w:rFonts w:ascii="仿宋" w:hAnsi="仿宋" w:eastAsia="仿宋"/>
          <w:sz w:val="32"/>
          <w:szCs w:val="32"/>
        </w:rPr>
        <w:t>整改工作方案，</w:t>
      </w:r>
      <w:r>
        <w:rPr>
          <w:rFonts w:hint="eastAsia" w:ascii="仿宋" w:hAnsi="仿宋" w:eastAsia="仿宋"/>
          <w:sz w:val="32"/>
          <w:szCs w:val="32"/>
        </w:rPr>
        <w:t>基本完成整改</w:t>
      </w:r>
      <w:r>
        <w:rPr>
          <w:rFonts w:ascii="仿宋" w:hAnsi="仿宋" w:eastAsia="仿宋"/>
          <w:sz w:val="32"/>
          <w:szCs w:val="32"/>
        </w:rPr>
        <w:t>。以整改工作为契</w:t>
      </w:r>
      <w:r>
        <w:rPr>
          <w:rFonts w:hint="eastAsia" w:ascii="仿宋" w:hAnsi="仿宋" w:eastAsia="仿宋"/>
          <w:sz w:val="32"/>
          <w:szCs w:val="32"/>
        </w:rPr>
        <w:t>机，举一反三，建立长效机制，</w:t>
      </w:r>
      <w:r>
        <w:rPr>
          <w:rFonts w:ascii="仿宋" w:hAnsi="仿宋" w:eastAsia="仿宋"/>
          <w:sz w:val="32"/>
          <w:szCs w:val="32"/>
        </w:rPr>
        <w:t>制定5项制度，修改完善</w:t>
      </w:r>
      <w:r>
        <w:rPr>
          <w:rFonts w:hint="eastAsia" w:ascii="仿宋" w:hAnsi="仿宋" w:eastAsia="仿宋"/>
          <w:sz w:val="32"/>
          <w:szCs w:val="32"/>
        </w:rPr>
        <w:t>6</w:t>
      </w:r>
      <w:r>
        <w:rPr>
          <w:rFonts w:ascii="仿宋" w:hAnsi="仿宋" w:eastAsia="仿宋"/>
          <w:sz w:val="32"/>
          <w:szCs w:val="32"/>
        </w:rPr>
        <w:t>项制度。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抓实建强基层党组织。结合学院党支部创先争优工作，精心筹备并召开支部书记、支委业务培训会，进一步规范支部工作，拟定2020年度支部党建工作考核标准，敦促支部严格执行“三会一课”制度，在自身建设上努力做到“五好”，在作用发挥在努力做到“四强”。建筑与地质工程系党支部获得局先进基层党组织，2位同志分获局优秀党务工作者和优秀共产党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加强干部队伍建设，规范干部选拔任用和考核工作。修订《中层干部选拔任用办法》，严格按照省委组织部有关“动议、民主推荐、考察、讨论决定、任职”五个环节，选拔三位年轻中层干部，对任职到期中层干部进行了考核述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规范做好局党代会选举，认真传达落实会议精神。严格按照局党委要求，选举产生局第二次党代会代表。代表们及时将会议精神传达党员群众，全体党员干部表示一定要在新一届局党委的坚强领导下，紧紧围绕行业经济发展新要求，以建设中国西部地质创新高地为奋斗目标，积极配合省局做好事业单位分类改革，在行业人才培养方面勇于担当，主动作为，为四川地勘行业职业教育发展做出贡献。</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（二）强化责任，扶贫扶志，脱贫攻坚再续动力。</w:t>
      </w:r>
    </w:p>
    <w:p>
      <w:pPr>
        <w:widowControl/>
        <w:ind w:firstLine="640" w:firstLineChars="200"/>
        <w:jc w:val="left"/>
        <w:rPr>
          <w:rFonts w:ascii="仿宋" w:hAnsi="仿宋" w:eastAsia="仿宋"/>
          <w:sz w:val="32"/>
          <w:szCs w:val="32"/>
        </w:rPr>
      </w:pPr>
      <w:r>
        <w:rPr>
          <w:rFonts w:hint="eastAsia" w:ascii="仿宋" w:hAnsi="仿宋" w:eastAsia="仿宋"/>
          <w:sz w:val="32"/>
          <w:szCs w:val="32"/>
        </w:rPr>
        <w:t>2020年是学院帮扶甘洛县兰池村的第五年，学院从自身和兰池村两地的实际出发，牢牢把握统筹城乡发展、构建和谐社会这条主线，以坚持壮大村集体经济、增加农民收入为目标，以发展特色产业、提高素质培训为重点，充分发挥优势，进一步加大帮扶工作力度，加大智力扶贫，取得了较好的帮扶成效。</w:t>
      </w:r>
    </w:p>
    <w:p>
      <w:pPr>
        <w:widowControl/>
        <w:ind w:firstLine="640" w:firstLineChars="200"/>
        <w:jc w:val="left"/>
        <w:rPr>
          <w:rFonts w:ascii="仿宋" w:hAnsi="仿宋" w:eastAsia="仿宋"/>
          <w:sz w:val="32"/>
          <w:szCs w:val="32"/>
        </w:rPr>
      </w:pPr>
      <w:r>
        <w:rPr>
          <w:rFonts w:hint="eastAsia" w:ascii="仿宋" w:hAnsi="仿宋" w:eastAsia="仿宋"/>
          <w:sz w:val="32"/>
          <w:szCs w:val="32"/>
        </w:rPr>
        <w:t>一年来，帮扶责任人履行帮扶责任，宣传脱贫攻坚政策，协调解决相关问题。截止年底，入户走访全村67户贫困户266余人次；召开“农民夜校”12期，培训350余人次；协调项目3个（其中在建2个），财政专项扶贫资金183万元，引进社会扶贫资金2.56万元，单位慰问资金0.67万元，以购代捐农产品2次8.136万元，总帮扶资金达194.366万元。</w:t>
      </w:r>
    </w:p>
    <w:p>
      <w:pPr>
        <w:widowControl/>
        <w:ind w:firstLine="640" w:firstLineChars="200"/>
        <w:jc w:val="left"/>
        <w:rPr>
          <w:rFonts w:ascii="仿宋" w:hAnsi="仿宋" w:eastAsia="仿宋"/>
          <w:sz w:val="32"/>
          <w:szCs w:val="32"/>
        </w:rPr>
      </w:pPr>
      <w:r>
        <w:rPr>
          <w:rFonts w:hint="eastAsia" w:ascii="仿宋" w:hAnsi="仿宋" w:eastAsia="仿宋"/>
          <w:sz w:val="32"/>
          <w:szCs w:val="32"/>
        </w:rPr>
        <w:t>本着扶贫又扶志的理念，驻村干部在宣传教育上下功夫。一是牵头组织“农民夜校”“村村响”“坝坝会”，大力开展脱贫攻坚政策宣传和感恩奋进教育；二是结合学院优势，加大彝区9+3免费职业教育宣传力度，让20名甘洛县初中毕业生免费到校学习，</w:t>
      </w:r>
      <w:r>
        <w:rPr>
          <w:rFonts w:ascii="仿宋" w:hAnsi="仿宋" w:eastAsia="仿宋"/>
          <w:sz w:val="32"/>
          <w:szCs w:val="32"/>
        </w:rPr>
        <w:t>提高贫困群众脱贫致富的信心和能力</w:t>
      </w:r>
      <w:r>
        <w:rPr>
          <w:rFonts w:hint="eastAsia" w:ascii="仿宋" w:hAnsi="仿宋" w:eastAsia="仿宋"/>
          <w:sz w:val="32"/>
          <w:szCs w:val="32"/>
        </w:rPr>
        <w:t>。</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（三）积极配合省局事业单位分类改革调研，尽全力做好行业服务。</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密切保持与省局、兄弟单位的沟通。先后为行业开展各类培训考试6次。主要有省局2020年入党积极分子培训班、党支部书记培训班、地勘行业首届地质调查员职业技能竞赛暨全国决赛四川选拔赛、无人机实用技能高级培训班、2020年省地勘行业工人考工定级及两期特种作业培训，完成行业培训考核483人/次。</w:t>
      </w:r>
    </w:p>
    <w:p>
      <w:pPr>
        <w:widowControl/>
        <w:ind w:firstLine="640" w:firstLineChars="200"/>
        <w:jc w:val="left"/>
        <w:rPr>
          <w:rFonts w:ascii="仿宋" w:hAnsi="仿宋" w:eastAsia="仿宋"/>
          <w:sz w:val="32"/>
          <w:szCs w:val="32"/>
        </w:rPr>
      </w:pPr>
      <w:r>
        <w:rPr>
          <w:rFonts w:hint="eastAsia" w:ascii="仿宋" w:hAnsi="仿宋" w:eastAsia="仿宋"/>
          <w:sz w:val="32"/>
          <w:szCs w:val="32"/>
        </w:rPr>
        <w:t>今年是省局改革创新之年，学院深入分析学院具体情况，仔细查找历史遗留问题，多方征求职工意见，积极配合省局和省级相关部门开展事业单位分类改革的考察调研，为省局深化改革提供依据。</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（四）做好常态化疫情防控，确保师生健康安全。</w:t>
      </w:r>
    </w:p>
    <w:p>
      <w:pPr>
        <w:widowControl/>
        <w:ind w:firstLine="640" w:firstLineChars="200"/>
        <w:jc w:val="left"/>
        <w:rPr>
          <w:rFonts w:ascii="仿宋" w:hAnsi="仿宋" w:eastAsia="仿宋"/>
          <w:sz w:val="32"/>
          <w:szCs w:val="32"/>
        </w:rPr>
      </w:pPr>
      <w:r>
        <w:rPr>
          <w:rFonts w:hint="eastAsia" w:ascii="仿宋" w:hAnsi="仿宋" w:eastAsia="仿宋"/>
          <w:sz w:val="32"/>
          <w:szCs w:val="32"/>
        </w:rPr>
        <w:t>1.做好“三强化”，筑牢防控安全线。</w:t>
      </w:r>
    </w:p>
    <w:p>
      <w:pPr>
        <w:widowControl/>
        <w:ind w:firstLine="640" w:firstLineChars="200"/>
        <w:jc w:val="left"/>
        <w:rPr>
          <w:rFonts w:ascii="仿宋" w:hAnsi="仿宋" w:eastAsia="仿宋"/>
          <w:sz w:val="32"/>
          <w:szCs w:val="32"/>
        </w:rPr>
      </w:pPr>
      <w:r>
        <w:rPr>
          <w:rFonts w:ascii="仿宋" w:hAnsi="仿宋" w:eastAsia="仿宋"/>
          <w:sz w:val="32"/>
          <w:szCs w:val="32"/>
        </w:rPr>
        <w:t>一是强化主体责任，践行初心使命。以高度的责任感，把打赢疫情防控阻击战作为重大政治任务，坚决做到守土有责、守土担责、守土尽责</w:t>
      </w:r>
      <w:r>
        <w:rPr>
          <w:rFonts w:hint="eastAsia" w:ascii="仿宋" w:hAnsi="仿宋" w:eastAsia="仿宋"/>
          <w:sz w:val="32"/>
          <w:szCs w:val="32"/>
        </w:rPr>
        <w:t>；</w:t>
      </w:r>
      <w:r>
        <w:rPr>
          <w:rFonts w:ascii="仿宋" w:hAnsi="仿宋" w:eastAsia="仿宋"/>
          <w:sz w:val="32"/>
          <w:szCs w:val="32"/>
        </w:rPr>
        <w:t>二是强化防控部署，落实联防联控。</w:t>
      </w:r>
      <w:r>
        <w:rPr>
          <w:rFonts w:hint="eastAsia" w:ascii="仿宋" w:hAnsi="仿宋" w:eastAsia="仿宋"/>
          <w:sz w:val="32"/>
          <w:szCs w:val="32"/>
        </w:rPr>
        <w:t>在省局指导下，主动</w:t>
      </w:r>
      <w:r>
        <w:rPr>
          <w:rFonts w:ascii="仿宋" w:hAnsi="仿宋" w:eastAsia="仿宋"/>
          <w:sz w:val="32"/>
          <w:szCs w:val="32"/>
        </w:rPr>
        <w:t>与崇州市政府和崇州教育系统、社区</w:t>
      </w:r>
      <w:r>
        <w:rPr>
          <w:rFonts w:hint="eastAsia" w:ascii="仿宋" w:hAnsi="仿宋" w:eastAsia="仿宋"/>
          <w:sz w:val="32"/>
          <w:szCs w:val="32"/>
        </w:rPr>
        <w:t>沟通，</w:t>
      </w:r>
      <w:r>
        <w:rPr>
          <w:rFonts w:ascii="仿宋" w:hAnsi="仿宋" w:eastAsia="仿宋"/>
          <w:sz w:val="32"/>
          <w:szCs w:val="32"/>
        </w:rPr>
        <w:t>切实筑牢疫情防控网</w:t>
      </w:r>
      <w:r>
        <w:rPr>
          <w:rFonts w:hint="eastAsia" w:ascii="仿宋" w:hAnsi="仿宋" w:eastAsia="仿宋"/>
          <w:sz w:val="32"/>
          <w:szCs w:val="32"/>
        </w:rPr>
        <w:t>；</w:t>
      </w:r>
      <w:r>
        <w:rPr>
          <w:rFonts w:ascii="仿宋" w:hAnsi="仿宋" w:eastAsia="仿宋"/>
          <w:sz w:val="32"/>
          <w:szCs w:val="32"/>
        </w:rPr>
        <w:t>三是强化宣传引导，树立</w:t>
      </w:r>
      <w:r>
        <w:rPr>
          <w:rFonts w:hint="eastAsia" w:ascii="仿宋" w:hAnsi="仿宋" w:eastAsia="仿宋"/>
          <w:sz w:val="32"/>
          <w:szCs w:val="32"/>
        </w:rPr>
        <w:t>正确</w:t>
      </w:r>
      <w:r>
        <w:rPr>
          <w:rFonts w:ascii="仿宋" w:hAnsi="仿宋" w:eastAsia="仿宋"/>
          <w:sz w:val="32"/>
          <w:szCs w:val="32"/>
        </w:rPr>
        <w:t>舆论导向</w:t>
      </w:r>
      <w:r>
        <w:rPr>
          <w:rFonts w:hint="eastAsia" w:ascii="仿宋" w:hAnsi="仿宋" w:eastAsia="仿宋"/>
          <w:sz w:val="32"/>
          <w:szCs w:val="32"/>
        </w:rPr>
        <w:t>，</w:t>
      </w:r>
      <w:r>
        <w:rPr>
          <w:rFonts w:ascii="仿宋" w:hAnsi="仿宋" w:eastAsia="仿宋"/>
          <w:sz w:val="32"/>
          <w:szCs w:val="32"/>
        </w:rPr>
        <w:t>凝聚起众志成城、共克时艰的强大正能量。</w:t>
      </w:r>
    </w:p>
    <w:p>
      <w:pPr>
        <w:widowControl/>
        <w:ind w:firstLine="640" w:firstLineChars="200"/>
        <w:jc w:val="left"/>
        <w:rPr>
          <w:rFonts w:ascii="仿宋" w:hAnsi="仿宋" w:eastAsia="仿宋"/>
          <w:sz w:val="32"/>
          <w:szCs w:val="32"/>
        </w:rPr>
      </w:pPr>
      <w:r>
        <w:rPr>
          <w:rFonts w:hint="eastAsia" w:ascii="仿宋" w:hAnsi="仿宋" w:eastAsia="仿宋"/>
          <w:sz w:val="32"/>
          <w:szCs w:val="32"/>
        </w:rPr>
        <w:t>2.强化责任担当，主动参与地方抗疫，支持企业复工复产。</w:t>
      </w:r>
    </w:p>
    <w:p>
      <w:pPr>
        <w:widowControl/>
        <w:ind w:firstLine="640" w:firstLineChars="200"/>
        <w:jc w:val="left"/>
        <w:rPr>
          <w:rFonts w:ascii="仿宋" w:hAnsi="仿宋" w:eastAsia="仿宋"/>
          <w:sz w:val="32"/>
          <w:szCs w:val="32"/>
        </w:rPr>
      </w:pPr>
      <w:r>
        <w:rPr>
          <w:rFonts w:hint="eastAsia" w:ascii="仿宋" w:hAnsi="仿宋" w:eastAsia="仿宋"/>
          <w:sz w:val="32"/>
          <w:szCs w:val="32"/>
        </w:rPr>
        <w:t>年初疫情肆虐之时，机电工程系和建筑与地质工程系身先士卒，利用自身专业优势积极参与政府和周边企业的疫情勘测、无人机消杀、复工复产等，</w:t>
      </w:r>
      <w:r>
        <w:rPr>
          <w:rFonts w:ascii="仿宋" w:hAnsi="仿宋" w:eastAsia="仿宋"/>
          <w:sz w:val="32"/>
          <w:szCs w:val="32"/>
        </w:rPr>
        <w:t>为企业雪中送炭，</w:t>
      </w:r>
      <w:r>
        <w:rPr>
          <w:rFonts w:hint="eastAsia" w:ascii="仿宋" w:hAnsi="仿宋" w:eastAsia="仿宋"/>
          <w:sz w:val="32"/>
          <w:szCs w:val="32"/>
        </w:rPr>
        <w:t>为地方经济发展贡献力量，</w:t>
      </w:r>
      <w:r>
        <w:rPr>
          <w:rFonts w:ascii="仿宋" w:hAnsi="仿宋" w:eastAsia="仿宋"/>
          <w:sz w:val="32"/>
          <w:szCs w:val="32"/>
        </w:rPr>
        <w:t>该项工作得到企业和社会一致认可</w:t>
      </w:r>
      <w:r>
        <w:rPr>
          <w:rFonts w:hint="eastAsia" w:ascii="仿宋" w:hAnsi="仿宋" w:eastAsia="仿宋"/>
          <w:sz w:val="32"/>
          <w:szCs w:val="32"/>
        </w:rPr>
        <w:t>和高度评价。</w:t>
      </w:r>
    </w:p>
    <w:p>
      <w:pPr>
        <w:widowControl/>
        <w:ind w:firstLine="640" w:firstLineChars="200"/>
        <w:jc w:val="left"/>
        <w:rPr>
          <w:rFonts w:ascii="仿宋" w:hAnsi="仿宋" w:eastAsia="仿宋"/>
          <w:sz w:val="32"/>
          <w:szCs w:val="32"/>
        </w:rPr>
      </w:pPr>
      <w:r>
        <w:rPr>
          <w:rFonts w:hint="eastAsia" w:ascii="仿宋" w:hAnsi="仿宋" w:eastAsia="仿宋"/>
          <w:sz w:val="32"/>
          <w:szCs w:val="32"/>
        </w:rPr>
        <w:t>3.精心组织线上教学，群策群力顺利复学。</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积极响应“停课不停学”的号召，制定了《疫情防控延期开学的教学工作方案》，对相关课程开展线上教学，制定了教师线上教学规范、学生线上学习守则，保障教学质量。按照崇州市教育系统复学复课文件要求，学院从校园环境、食堂卫生、安保消防设施、教学场地卫生等方面下狠力气、真功夫，顺利通过严格的复学评估，并分批次安排学生返校复课。复课后严格按照“两案八制”进行严格的封闭式管理，做到晨午晚三检和零报告，对体温和身体异常学生进行隔离留观或送崇州医院检查等。</w:t>
      </w:r>
    </w:p>
    <w:p>
      <w:pPr>
        <w:widowControl/>
        <w:ind w:firstLine="640" w:firstLineChars="200"/>
        <w:jc w:val="left"/>
        <w:rPr>
          <w:rFonts w:ascii="仿宋" w:hAnsi="仿宋" w:eastAsia="仿宋"/>
          <w:sz w:val="32"/>
          <w:szCs w:val="32"/>
        </w:rPr>
      </w:pPr>
      <w:r>
        <w:rPr>
          <w:rFonts w:hint="eastAsia" w:ascii="仿宋" w:hAnsi="仿宋" w:eastAsia="仿宋"/>
          <w:sz w:val="32"/>
          <w:szCs w:val="32"/>
        </w:rPr>
        <w:t>4.狠抓常态化防控，筑牢校园防控墙。</w:t>
      </w:r>
    </w:p>
    <w:p>
      <w:pPr>
        <w:widowControl/>
        <w:ind w:firstLine="640" w:firstLineChars="200"/>
        <w:jc w:val="left"/>
        <w:rPr>
          <w:rFonts w:ascii="仿宋" w:hAnsi="仿宋" w:eastAsia="仿宋"/>
          <w:sz w:val="32"/>
          <w:szCs w:val="32"/>
        </w:rPr>
      </w:pPr>
      <w:r>
        <w:rPr>
          <w:rFonts w:ascii="仿宋" w:hAnsi="仿宋" w:eastAsia="仿宋"/>
          <w:sz w:val="32"/>
          <w:szCs w:val="32"/>
        </w:rPr>
        <w:t>随着疫情防疫进入常态化，对我们的工作要求更细致，环环相扣，每一环都要做到极致</w:t>
      </w:r>
      <w:r>
        <w:rPr>
          <w:rFonts w:hint="eastAsia" w:ascii="仿宋" w:hAnsi="仿宋" w:eastAsia="仿宋"/>
          <w:sz w:val="32"/>
          <w:szCs w:val="32"/>
        </w:rPr>
        <w:t>。</w:t>
      </w:r>
      <w:r>
        <w:rPr>
          <w:rFonts w:ascii="仿宋" w:hAnsi="仿宋" w:eastAsia="仿宋"/>
          <w:sz w:val="32"/>
          <w:szCs w:val="32"/>
        </w:rPr>
        <w:t>学校在</w:t>
      </w:r>
      <w:r>
        <w:rPr>
          <w:rFonts w:hint="eastAsia" w:ascii="仿宋" w:hAnsi="仿宋" w:eastAsia="仿宋"/>
          <w:sz w:val="32"/>
          <w:szCs w:val="32"/>
        </w:rPr>
        <w:t>前期</w:t>
      </w:r>
      <w:r>
        <w:rPr>
          <w:rFonts w:ascii="仿宋" w:hAnsi="仿宋" w:eastAsia="仿宋"/>
          <w:sz w:val="32"/>
          <w:szCs w:val="32"/>
        </w:rPr>
        <w:t>持续防疫过程中，已建立了相对完善、有效的机制，在遇到突发事件时，确保机制能够立即启动，全面发挥作用。</w:t>
      </w:r>
      <w:r>
        <w:rPr>
          <w:rFonts w:hint="eastAsia" w:ascii="仿宋" w:hAnsi="仿宋" w:eastAsia="仿宋"/>
          <w:sz w:val="32"/>
          <w:szCs w:val="32"/>
        </w:rPr>
        <w:t>工作中</w:t>
      </w:r>
      <w:r>
        <w:rPr>
          <w:rFonts w:ascii="仿宋" w:hAnsi="仿宋" w:eastAsia="仿宋"/>
          <w:sz w:val="32"/>
          <w:szCs w:val="32"/>
        </w:rPr>
        <w:t>紧盯校园是疫情防控关键点，加强各项防控措施；严把入校关，继续加强师生入校测温工作，严格防控外来人员入校；</w:t>
      </w:r>
      <w:r>
        <w:rPr>
          <w:rFonts w:hint="eastAsia" w:ascii="仿宋" w:hAnsi="仿宋" w:eastAsia="仿宋"/>
          <w:sz w:val="32"/>
          <w:szCs w:val="32"/>
        </w:rPr>
        <w:t>严格</w:t>
      </w:r>
      <w:r>
        <w:rPr>
          <w:rFonts w:ascii="仿宋" w:hAnsi="仿宋" w:eastAsia="仿宋"/>
          <w:sz w:val="32"/>
          <w:szCs w:val="32"/>
        </w:rPr>
        <w:t>执行请销假制度；关注学生的身体健康和心理健康，做好学生</w:t>
      </w:r>
      <w:r>
        <w:rPr>
          <w:rFonts w:hint="eastAsia" w:ascii="仿宋" w:hAnsi="仿宋" w:eastAsia="仿宋"/>
          <w:sz w:val="32"/>
          <w:szCs w:val="32"/>
        </w:rPr>
        <w:t>心理</w:t>
      </w:r>
      <w:r>
        <w:rPr>
          <w:rFonts w:ascii="仿宋" w:hAnsi="仿宋" w:eastAsia="仿宋"/>
          <w:sz w:val="32"/>
          <w:szCs w:val="32"/>
        </w:rPr>
        <w:t>疏导</w:t>
      </w:r>
      <w:r>
        <w:rPr>
          <w:rFonts w:hint="eastAsia" w:ascii="仿宋" w:hAnsi="仿宋" w:eastAsia="仿宋"/>
          <w:sz w:val="32"/>
          <w:szCs w:val="32"/>
        </w:rPr>
        <w:t>；做好各种排查和自查，</w:t>
      </w:r>
      <w:r>
        <w:rPr>
          <w:rFonts w:ascii="仿宋" w:hAnsi="仿宋" w:eastAsia="仿宋"/>
          <w:sz w:val="32"/>
          <w:szCs w:val="32"/>
        </w:rPr>
        <w:t>不断总结经验、适时调整、杜绝懈怠、提振信心，确保校园安全</w:t>
      </w:r>
      <w:r>
        <w:rPr>
          <w:rFonts w:hint="eastAsia" w:ascii="仿宋" w:hAnsi="仿宋" w:eastAsia="仿宋"/>
          <w:sz w:val="32"/>
          <w:szCs w:val="32"/>
        </w:rPr>
        <w:t>无虞</w:t>
      </w:r>
      <w:r>
        <w:rPr>
          <w:rFonts w:ascii="仿宋" w:hAnsi="仿宋" w:eastAsia="仿宋"/>
          <w:sz w:val="32"/>
          <w:szCs w:val="32"/>
        </w:rPr>
        <w:t>、学生健康成长。</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以提高质量为核心，以内涵建设为重点</w:t>
      </w:r>
      <w:r>
        <w:rPr>
          <w:rFonts w:hint="eastAsia" w:ascii="仿宋" w:hAnsi="仿宋" w:eastAsia="仿宋"/>
          <w:b/>
          <w:sz w:val="32"/>
          <w:szCs w:val="32"/>
        </w:rPr>
        <w:t>，不断提升学院教育教学整体水平。</w:t>
      </w:r>
    </w:p>
    <w:p>
      <w:pPr>
        <w:widowControl/>
        <w:ind w:firstLine="640" w:firstLineChars="200"/>
        <w:jc w:val="left"/>
        <w:rPr>
          <w:rFonts w:ascii="仿宋" w:hAnsi="仿宋" w:eastAsia="仿宋"/>
          <w:sz w:val="32"/>
          <w:szCs w:val="32"/>
        </w:rPr>
      </w:pPr>
      <w:r>
        <w:rPr>
          <w:rFonts w:hint="eastAsia" w:ascii="仿宋" w:hAnsi="仿宋" w:eastAsia="仿宋"/>
          <w:sz w:val="32"/>
          <w:szCs w:val="32"/>
        </w:rPr>
        <w:t>1.加强师德师风建设，构建长效教研平台，促教师职业素质提升。</w:t>
      </w:r>
    </w:p>
    <w:p>
      <w:pPr>
        <w:widowControl/>
        <w:ind w:firstLine="640" w:firstLineChars="200"/>
        <w:jc w:val="left"/>
        <w:rPr>
          <w:rFonts w:ascii="仿宋" w:hAnsi="仿宋" w:eastAsia="仿宋"/>
          <w:sz w:val="32"/>
          <w:szCs w:val="32"/>
        </w:rPr>
      </w:pPr>
      <w:r>
        <w:rPr>
          <w:rFonts w:hint="eastAsia" w:ascii="仿宋" w:hAnsi="仿宋" w:eastAsia="仿宋"/>
          <w:sz w:val="32"/>
          <w:szCs w:val="32"/>
        </w:rPr>
        <w:t>持续推进师德师风建设，落实院党委《师德师风建设活动方案》，制定《师德师风考核暂行办法》，推进师德师风档案建立，严格师德纪律管理，有效杜绝不良行为，弘扬师德正气。</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认真组织并积极参加校内外教师培训，提升教师职业能力和职业素养。通过公开课、听课评课、说课比赛，以及常态化教学教研活动等多种方式提高教师教学能力；通过“结对子”与“导师制度”相结合开展“传、帮、带”，指导青年教师提高教学能力，提升团队整体水平。</w:t>
      </w:r>
    </w:p>
    <w:p>
      <w:pPr>
        <w:widowControl/>
        <w:ind w:firstLine="640" w:firstLineChars="200"/>
        <w:jc w:val="left"/>
        <w:rPr>
          <w:rFonts w:ascii="仿宋" w:hAnsi="仿宋" w:eastAsia="仿宋"/>
          <w:sz w:val="32"/>
          <w:szCs w:val="32"/>
        </w:rPr>
      </w:pPr>
      <w:r>
        <w:rPr>
          <w:rFonts w:hint="eastAsia" w:ascii="仿宋" w:hAnsi="仿宋" w:eastAsia="仿宋"/>
          <w:sz w:val="32"/>
          <w:szCs w:val="32"/>
        </w:rPr>
        <w:t>2.坚持创新带动发展，以产教融合不断深化和扩大校企合作。</w:t>
      </w:r>
    </w:p>
    <w:p>
      <w:pPr>
        <w:widowControl/>
        <w:ind w:firstLine="640" w:firstLineChars="200"/>
        <w:jc w:val="left"/>
        <w:rPr>
          <w:rFonts w:ascii="仿宋" w:hAnsi="仿宋" w:eastAsia="仿宋"/>
          <w:sz w:val="32"/>
          <w:szCs w:val="32"/>
        </w:rPr>
      </w:pPr>
      <w:r>
        <w:rPr>
          <w:rFonts w:hint="eastAsia" w:ascii="仿宋" w:hAnsi="仿宋" w:eastAsia="仿宋"/>
          <w:sz w:val="32"/>
          <w:szCs w:val="32"/>
        </w:rPr>
        <w:t xml:space="preserve">（1）根据自身实际，积极推进并引入校园企业文化建设，提高学生的职业认知。 </w:t>
      </w:r>
    </w:p>
    <w:p>
      <w:pPr>
        <w:widowControl/>
        <w:ind w:firstLine="640" w:firstLineChars="200"/>
        <w:jc w:val="left"/>
        <w:rPr>
          <w:rFonts w:ascii="仿宋" w:hAnsi="仿宋" w:eastAsia="仿宋"/>
          <w:sz w:val="32"/>
          <w:szCs w:val="32"/>
        </w:rPr>
      </w:pPr>
      <w:r>
        <w:rPr>
          <w:rFonts w:hint="eastAsia" w:ascii="仿宋" w:hAnsi="仿宋" w:eastAsia="仿宋"/>
          <w:sz w:val="32"/>
          <w:szCs w:val="32"/>
        </w:rPr>
        <w:t>（2）搭建产教融合平台，实现工学交替。</w:t>
      </w:r>
    </w:p>
    <w:p>
      <w:pPr>
        <w:widowControl/>
        <w:ind w:firstLine="640" w:firstLineChars="200"/>
        <w:jc w:val="left"/>
        <w:rPr>
          <w:rFonts w:ascii="仿宋" w:hAnsi="仿宋" w:eastAsia="仿宋"/>
          <w:sz w:val="32"/>
          <w:szCs w:val="32"/>
        </w:rPr>
      </w:pPr>
      <w:r>
        <w:rPr>
          <w:rFonts w:hint="eastAsia" w:ascii="仿宋" w:hAnsi="仿宋" w:eastAsia="仿宋"/>
          <w:sz w:val="32"/>
          <w:szCs w:val="32"/>
        </w:rPr>
        <w:t>分期分批组织学生到合作企业跟岗实习。实现了实训与就业对接、学生与员工对接、课程与岗位对接、专业与产业对接，构建了校企互融的育人机制，探索出了校企合作、工学结合的跟岗实训运行机制，全年跟岗实习920人。</w:t>
      </w:r>
    </w:p>
    <w:p>
      <w:pPr>
        <w:widowControl/>
        <w:ind w:firstLine="640" w:firstLineChars="200"/>
        <w:jc w:val="left"/>
        <w:rPr>
          <w:rFonts w:ascii="仿宋" w:hAnsi="仿宋" w:eastAsia="仿宋"/>
          <w:sz w:val="32"/>
          <w:szCs w:val="32"/>
        </w:rPr>
      </w:pPr>
      <w:r>
        <w:rPr>
          <w:rFonts w:hint="eastAsia" w:ascii="仿宋" w:hAnsi="仿宋" w:eastAsia="仿宋"/>
          <w:sz w:val="32"/>
          <w:szCs w:val="32"/>
        </w:rPr>
        <w:t>（3）拓展合作空间，校企合作朋友圈再添新伙伴。</w:t>
      </w:r>
    </w:p>
    <w:p>
      <w:pPr>
        <w:widowControl/>
        <w:ind w:firstLine="640" w:firstLineChars="200"/>
        <w:jc w:val="left"/>
        <w:rPr>
          <w:rFonts w:ascii="仿宋" w:hAnsi="仿宋" w:eastAsia="仿宋"/>
          <w:sz w:val="32"/>
          <w:szCs w:val="32"/>
        </w:rPr>
      </w:pPr>
      <w:r>
        <w:rPr>
          <w:rFonts w:hint="eastAsia" w:ascii="仿宋" w:hAnsi="仿宋" w:eastAsia="仿宋"/>
          <w:sz w:val="32"/>
          <w:szCs w:val="32"/>
        </w:rPr>
        <w:t>立足专业发展和学生实训、就业需求，积极拓展实习实训和就业面。通过调研寻求优质企业和优质项目开展合作，不断扩大校企合作朋友圈，年内结交11位新朋友，并新增2个项目冠名班——行知双百班、倬方岩土班。有效增强学生综合素质和专业能力，也逐步提升了学生专业核心竞争力。</w:t>
      </w:r>
    </w:p>
    <w:p>
      <w:pPr>
        <w:widowControl/>
        <w:ind w:firstLine="640" w:firstLineChars="200"/>
        <w:jc w:val="left"/>
        <w:rPr>
          <w:rFonts w:ascii="仿宋" w:hAnsi="仿宋" w:eastAsia="仿宋"/>
          <w:sz w:val="32"/>
          <w:szCs w:val="32"/>
        </w:rPr>
      </w:pPr>
      <w:r>
        <w:rPr>
          <w:rFonts w:hint="eastAsia" w:ascii="仿宋" w:hAnsi="仿宋" w:eastAsia="仿宋"/>
          <w:sz w:val="32"/>
          <w:szCs w:val="32"/>
        </w:rPr>
        <w:t>3.以赛促教，职业能力比赛显身手。</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通过举办校内职业能力大赛，积极推选教师参加省市相关比赛，获得第五届全国职业院校教师微课大赛二等奖和三等奖各1名；另有2名教师分获四川省教师教学能力竞赛二、三等奖；在成都市第三届技工院校职业技能竞赛中汽车工程系教师团队获一等奖，2名教师获班主任能力大赛二、三等奖。通过职业能力竞赛与省市技工院校切磋技艺、交流思想、增进友谊，同时展示了我院教育教学改革成果。</w:t>
      </w:r>
    </w:p>
    <w:p>
      <w:pPr>
        <w:widowControl/>
        <w:ind w:firstLine="640" w:firstLineChars="200"/>
        <w:jc w:val="left"/>
        <w:rPr>
          <w:rFonts w:ascii="仿宋" w:hAnsi="仿宋" w:eastAsia="仿宋"/>
          <w:sz w:val="32"/>
          <w:szCs w:val="32"/>
        </w:rPr>
      </w:pPr>
      <w:r>
        <w:rPr>
          <w:rFonts w:hint="eastAsia" w:ascii="仿宋" w:hAnsi="仿宋" w:eastAsia="仿宋"/>
          <w:sz w:val="32"/>
          <w:szCs w:val="32"/>
        </w:rPr>
        <w:t>4.以赛促学，技能大赛展风采。</w:t>
      </w:r>
    </w:p>
    <w:p>
      <w:pPr>
        <w:widowControl/>
        <w:ind w:firstLine="640" w:firstLineChars="200"/>
        <w:jc w:val="left"/>
        <w:rPr>
          <w:rFonts w:ascii="仿宋" w:hAnsi="仿宋" w:eastAsia="仿宋"/>
          <w:sz w:val="32"/>
          <w:szCs w:val="32"/>
        </w:rPr>
      </w:pPr>
      <w:r>
        <w:rPr>
          <w:rFonts w:hint="eastAsia" w:ascii="仿宋" w:hAnsi="仿宋" w:eastAsia="仿宋"/>
          <w:sz w:val="32"/>
          <w:szCs w:val="32"/>
        </w:rPr>
        <w:t>（1）外出参加各级各类比赛收获丰盈。</w:t>
      </w:r>
    </w:p>
    <w:p>
      <w:pPr>
        <w:widowControl/>
        <w:ind w:firstLine="640" w:firstLineChars="200"/>
        <w:jc w:val="left"/>
        <w:rPr>
          <w:rFonts w:ascii="仿宋" w:hAnsi="仿宋" w:eastAsia="仿宋"/>
          <w:sz w:val="32"/>
          <w:szCs w:val="32"/>
        </w:rPr>
      </w:pPr>
      <w:r>
        <w:rPr>
          <w:rFonts w:hint="eastAsia" w:ascii="仿宋" w:hAnsi="仿宋" w:eastAsia="仿宋"/>
          <w:sz w:val="32"/>
          <w:szCs w:val="32"/>
        </w:rPr>
        <w:t>今年学院共有78名学生外出参加技能比赛，有4人以四川省选拔赛第一名资格，代表四川参加全国最高规格的技能比赛——中华人民共和国第一届职业技能大赛，丁尚明同学不负众望，为四川代表团斩获砌筑项目铜牌，他本人同时获得“全国技术能手”称号，充分展示了我院技能人才培养水平，为四川和学院赢得了荣誉。丁尚明同学今年还获得了全国扶贫技能大赛银奖，成都市技能大赛一等奖等奖项。在2020年“科云杯”全国财会职业能力大赛中，我校学生从375支队伍中脱颖而出，荣获大赛一等奖，并且取得四川省第一名的优异成绩。此外同学们还获得省级比赛一等奖5个，三等奖2个，成都市二等奖2个、三等奖6个。通过参加大赛，激发了学生学习专业的热情，提升了学生综合能力和技艺水平，提高了教学质量和教师职业能力及职业信心。</w:t>
      </w:r>
    </w:p>
    <w:p>
      <w:pPr>
        <w:widowControl/>
        <w:ind w:firstLine="640" w:firstLineChars="200"/>
        <w:jc w:val="left"/>
        <w:rPr>
          <w:rFonts w:ascii="仿宋" w:hAnsi="仿宋" w:eastAsia="仿宋"/>
          <w:sz w:val="32"/>
          <w:szCs w:val="32"/>
        </w:rPr>
      </w:pPr>
      <w:r>
        <w:rPr>
          <w:rFonts w:hint="eastAsia" w:ascii="仿宋" w:hAnsi="仿宋" w:eastAsia="仿宋"/>
          <w:sz w:val="32"/>
          <w:szCs w:val="32"/>
        </w:rPr>
        <w:t>（2）发挥知识技能节引领带动作用，成功举办第十三届知识技能节。</w:t>
      </w:r>
    </w:p>
    <w:p>
      <w:pPr>
        <w:widowControl/>
        <w:ind w:firstLine="640" w:firstLineChars="200"/>
        <w:jc w:val="left"/>
        <w:rPr>
          <w:rFonts w:ascii="仿宋" w:hAnsi="仿宋" w:eastAsia="仿宋"/>
          <w:sz w:val="32"/>
          <w:szCs w:val="32"/>
        </w:rPr>
      </w:pPr>
      <w:r>
        <w:rPr>
          <w:rFonts w:hint="eastAsia" w:ascii="仿宋" w:hAnsi="仿宋" w:eastAsia="仿宋"/>
          <w:sz w:val="32"/>
          <w:szCs w:val="32"/>
        </w:rPr>
        <w:t>为传承工匠精神，强化职业技能竞赛，举办了第十三届知识技能节。本次技能节设25个项目，共351名选手进入决赛，180名学生获奖。技能节为全院学生提供展示技能、发现人才的平台。</w:t>
      </w:r>
    </w:p>
    <w:p>
      <w:pPr>
        <w:widowControl/>
        <w:ind w:firstLine="640" w:firstLineChars="200"/>
        <w:jc w:val="left"/>
        <w:rPr>
          <w:rFonts w:ascii="仿宋" w:hAnsi="仿宋" w:eastAsia="仿宋"/>
          <w:sz w:val="32"/>
          <w:szCs w:val="32"/>
        </w:rPr>
      </w:pPr>
      <w:r>
        <w:rPr>
          <w:rFonts w:hint="eastAsia" w:ascii="仿宋" w:hAnsi="仿宋" w:eastAsia="仿宋"/>
          <w:sz w:val="32"/>
          <w:szCs w:val="32"/>
        </w:rPr>
        <w:t>5.积极开展项目引领，推动高质量发展。</w:t>
      </w:r>
    </w:p>
    <w:p>
      <w:pPr>
        <w:widowControl/>
        <w:ind w:firstLine="640" w:firstLineChars="200"/>
        <w:jc w:val="left"/>
        <w:rPr>
          <w:rFonts w:ascii="仿宋" w:hAnsi="仿宋" w:eastAsia="仿宋"/>
          <w:sz w:val="32"/>
          <w:szCs w:val="32"/>
        </w:rPr>
      </w:pPr>
      <w:r>
        <w:rPr>
          <w:rFonts w:hint="eastAsia" w:ascii="仿宋" w:hAnsi="仿宋" w:eastAsia="仿宋"/>
          <w:sz w:val="32"/>
          <w:szCs w:val="32"/>
        </w:rPr>
        <w:t>（1）项目引进，高端引领。</w:t>
      </w:r>
    </w:p>
    <w:p>
      <w:pPr>
        <w:widowControl/>
        <w:ind w:firstLine="640" w:firstLineChars="200"/>
        <w:jc w:val="left"/>
        <w:rPr>
          <w:rFonts w:ascii="仿宋" w:hAnsi="仿宋" w:eastAsia="仿宋"/>
          <w:sz w:val="32"/>
          <w:szCs w:val="32"/>
        </w:rPr>
      </w:pPr>
      <w:r>
        <w:rPr>
          <w:rFonts w:hint="eastAsia" w:ascii="仿宋" w:hAnsi="仿宋" w:eastAsia="仿宋"/>
          <w:sz w:val="32"/>
          <w:szCs w:val="32"/>
        </w:rPr>
        <w:t>成功引入西门子 UGNX 制造工程师培训项目，积极组织并成功申报了成都市工业控制项目技能竞赛集训基地，并按世赛标准进行了一期项目建设。为学院在该项目上的教练培养、选手选拔、参赛等奠定了坚实的基础。</w:t>
      </w:r>
    </w:p>
    <w:p>
      <w:pPr>
        <w:widowControl/>
        <w:ind w:firstLine="640" w:firstLineChars="200"/>
        <w:jc w:val="left"/>
        <w:rPr>
          <w:rFonts w:ascii="仿宋" w:hAnsi="仿宋" w:eastAsia="仿宋"/>
          <w:sz w:val="32"/>
          <w:szCs w:val="32"/>
        </w:rPr>
      </w:pPr>
      <w:r>
        <w:rPr>
          <w:rFonts w:hint="eastAsia" w:ascii="仿宋" w:hAnsi="仿宋" w:eastAsia="仿宋"/>
          <w:sz w:val="32"/>
          <w:szCs w:val="32"/>
        </w:rPr>
        <w:t>继续开展中德合作办学，现有7个中德班，严格按照德国标准开展教学，成为技工院校中外合作，高端教学典范。</w:t>
      </w:r>
    </w:p>
    <w:p>
      <w:pPr>
        <w:widowControl/>
        <w:ind w:firstLine="640" w:firstLineChars="200"/>
        <w:jc w:val="left"/>
        <w:rPr>
          <w:rFonts w:ascii="仿宋" w:hAnsi="仿宋" w:eastAsia="仿宋"/>
          <w:sz w:val="32"/>
          <w:szCs w:val="32"/>
        </w:rPr>
      </w:pPr>
      <w:r>
        <w:rPr>
          <w:rFonts w:hint="eastAsia" w:ascii="仿宋" w:hAnsi="仿宋" w:eastAsia="仿宋"/>
          <w:sz w:val="32"/>
          <w:szCs w:val="32"/>
        </w:rPr>
        <w:t>（2）示范带动，科研辐射。</w:t>
      </w:r>
    </w:p>
    <w:p>
      <w:pPr>
        <w:widowControl/>
        <w:ind w:firstLine="640" w:firstLineChars="200"/>
        <w:jc w:val="left"/>
        <w:rPr>
          <w:rFonts w:ascii="仿宋" w:hAnsi="仿宋" w:eastAsia="仿宋"/>
          <w:sz w:val="32"/>
          <w:szCs w:val="32"/>
        </w:rPr>
      </w:pPr>
      <w:r>
        <w:rPr>
          <w:rFonts w:ascii="仿宋" w:hAnsi="仿宋" w:eastAsia="仿宋"/>
          <w:sz w:val="32"/>
          <w:szCs w:val="32"/>
        </w:rPr>
        <w:t>电气自动化设备运行与维护专业省级示范专业建设完成全部建设任务和项目审计，正待最终省级验收。学院以示范专业建设有效带动其他专业建设和发展，建筑与地质工程系、经济管理系、机电工程系已接受成都市级校地校企合作培养产业发展人才项目答辩；汽车维修专业入围四川省陶行知研究会职业教育专业委员会“行知双百定向人才培养研究项目”</w:t>
      </w:r>
      <w:r>
        <w:rPr>
          <w:rFonts w:hint="eastAsia" w:ascii="仿宋" w:hAnsi="仿宋" w:eastAsia="仿宋"/>
          <w:sz w:val="32"/>
          <w:szCs w:val="32"/>
        </w:rPr>
        <w:t>；</w:t>
      </w:r>
      <w:r>
        <w:rPr>
          <w:rFonts w:ascii="仿宋" w:hAnsi="仿宋" w:eastAsia="仿宋"/>
          <w:sz w:val="32"/>
          <w:szCs w:val="32"/>
        </w:rPr>
        <w:t>通过与川南幼专对接，成为“成渝地区双城经济圈职业院校学前教育发展联盟”常务理事单位，为进一步提升幼教专业建设奠定基础。</w:t>
      </w:r>
    </w:p>
    <w:p>
      <w:pPr>
        <w:widowControl/>
        <w:ind w:firstLine="640" w:firstLineChars="200"/>
        <w:jc w:val="left"/>
        <w:rPr>
          <w:rFonts w:ascii="仿宋" w:hAnsi="仿宋" w:eastAsia="仿宋"/>
          <w:sz w:val="32"/>
          <w:szCs w:val="32"/>
        </w:rPr>
      </w:pPr>
      <w:r>
        <w:rPr>
          <w:rFonts w:hint="eastAsia" w:ascii="仿宋" w:hAnsi="仿宋" w:eastAsia="仿宋"/>
          <w:sz w:val="32"/>
          <w:szCs w:val="32"/>
        </w:rPr>
        <w:t>经四川省职业技能鉴定指导中心专家评审，通过职业技能等级认定试点评审，获得8个工种职业技能等级认定资格。同时顺利通过职业技能鉴定工作质量评估。</w:t>
      </w:r>
    </w:p>
    <w:p>
      <w:pPr>
        <w:widowControl/>
        <w:ind w:firstLine="640" w:firstLineChars="200"/>
        <w:jc w:val="left"/>
        <w:rPr>
          <w:rFonts w:ascii="仿宋" w:hAnsi="仿宋" w:eastAsia="仿宋"/>
          <w:sz w:val="32"/>
          <w:szCs w:val="32"/>
        </w:rPr>
      </w:pPr>
      <w:r>
        <w:rPr>
          <w:rFonts w:hint="eastAsia" w:ascii="仿宋" w:hAnsi="仿宋" w:eastAsia="仿宋"/>
          <w:sz w:val="32"/>
          <w:szCs w:val="32"/>
        </w:rPr>
        <w:t>完成日常教学工作同时，积极开展教学科研攻关，课题《职业院校礼仪课程一体化教学研究》获中华职业教育社和北京师范大学国家职业教育研究院立项；完成省部级重点课题《职业院校党建工作与研究》《高技能人才与工程技术人才职业发展贯通的研究》《深化产教融合、校企合作、育训结合》。申报创新工作室，自</w:t>
      </w:r>
      <w:r>
        <w:rPr>
          <w:rFonts w:ascii="仿宋" w:hAnsi="仿宋" w:eastAsia="仿宋"/>
          <w:sz w:val="32"/>
          <w:szCs w:val="32"/>
        </w:rPr>
        <w:t>主</w:t>
      </w:r>
      <w:r>
        <w:rPr>
          <w:rFonts w:hint="eastAsia" w:ascii="仿宋" w:hAnsi="仿宋" w:eastAsia="仿宋"/>
          <w:sz w:val="32"/>
          <w:szCs w:val="32"/>
        </w:rPr>
        <w:t>研发的</w:t>
      </w:r>
      <w:r>
        <w:rPr>
          <w:rFonts w:ascii="仿宋" w:hAnsi="仿宋" w:eastAsia="仿宋"/>
          <w:sz w:val="32"/>
          <w:szCs w:val="32"/>
        </w:rPr>
        <w:t>自动磁悬浮系统获国家发明专利</w:t>
      </w:r>
      <w:r>
        <w:rPr>
          <w:rFonts w:hint="eastAsia" w:ascii="仿宋" w:hAnsi="仿宋" w:eastAsia="仿宋"/>
          <w:sz w:val="32"/>
          <w:szCs w:val="32"/>
        </w:rPr>
        <w:t>；AHK考核平台和无线网络控制平台即将获得实用新型专利，为电气专业后示范提供技术保障，搭建了坚实的科研基础。</w:t>
      </w:r>
    </w:p>
    <w:p>
      <w:pPr>
        <w:widowControl/>
        <w:ind w:firstLine="640" w:firstLineChars="200"/>
        <w:jc w:val="left"/>
        <w:rPr>
          <w:rFonts w:ascii="仿宋" w:hAnsi="仿宋" w:eastAsia="仿宋"/>
          <w:sz w:val="32"/>
          <w:szCs w:val="32"/>
        </w:rPr>
      </w:pPr>
      <w:r>
        <w:rPr>
          <w:rFonts w:hint="eastAsia" w:ascii="仿宋" w:hAnsi="仿宋" w:eastAsia="仿宋"/>
          <w:sz w:val="32"/>
          <w:szCs w:val="32"/>
        </w:rPr>
        <w:t>与崇州市科技协会、崇州知联会合作，参与各类科技活动，对外交流，拓展教师的科技视野，学院科协大力推动由四川省科学技术协会创办的“天府科技云”APP平台，成为学院教师推广科技成果发布、转化的平台。</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（六）坚持立德树人，构建三全育人格局，学生工作迈上新台阶。</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w:t>
      </w:r>
      <w:r>
        <w:rPr>
          <w:rFonts w:ascii="仿宋" w:hAnsi="仿宋" w:eastAsia="仿宋"/>
          <w:sz w:val="32"/>
          <w:szCs w:val="32"/>
        </w:rPr>
        <w:t>紧紧围绕立德树人根本任务，以理想信念教育为核心，以社会主义核心价值观为引领，以全面提高人才培养能力为关键，完善育人考核管理，加快构建全员</w:t>
      </w:r>
      <w:r>
        <w:rPr>
          <w:rFonts w:hint="eastAsia" w:ascii="仿宋" w:hAnsi="仿宋" w:eastAsia="仿宋"/>
          <w:sz w:val="32"/>
          <w:szCs w:val="32"/>
        </w:rPr>
        <w:t>、</w:t>
      </w:r>
      <w:r>
        <w:rPr>
          <w:rFonts w:ascii="仿宋" w:hAnsi="仿宋" w:eastAsia="仿宋"/>
          <w:sz w:val="32"/>
          <w:szCs w:val="32"/>
        </w:rPr>
        <w:t>全过程</w:t>
      </w:r>
      <w:r>
        <w:rPr>
          <w:rFonts w:hint="eastAsia" w:ascii="仿宋" w:hAnsi="仿宋" w:eastAsia="仿宋"/>
          <w:sz w:val="32"/>
          <w:szCs w:val="32"/>
        </w:rPr>
        <w:t>、</w:t>
      </w:r>
      <w:r>
        <w:rPr>
          <w:rFonts w:ascii="仿宋" w:hAnsi="仿宋" w:eastAsia="仿宋"/>
          <w:sz w:val="32"/>
          <w:szCs w:val="32"/>
        </w:rPr>
        <w:t>全方位一体化育人格局，培养</w:t>
      </w:r>
      <w:r>
        <w:rPr>
          <w:rFonts w:hint="eastAsia" w:ascii="仿宋" w:hAnsi="仿宋" w:eastAsia="仿宋"/>
          <w:sz w:val="32"/>
          <w:szCs w:val="32"/>
        </w:rPr>
        <w:t>德技双馨、</w:t>
      </w:r>
      <w:r>
        <w:rPr>
          <w:rFonts w:ascii="仿宋" w:hAnsi="仿宋" w:eastAsia="仿宋"/>
          <w:sz w:val="32"/>
          <w:szCs w:val="32"/>
        </w:rPr>
        <w:t>全面发展的</w:t>
      </w:r>
      <w:r>
        <w:rPr>
          <w:rFonts w:hint="eastAsia" w:ascii="仿宋" w:hAnsi="仿宋" w:eastAsia="仿宋"/>
          <w:sz w:val="32"/>
          <w:szCs w:val="32"/>
        </w:rPr>
        <w:t>技能人才</w:t>
      </w:r>
      <w:r>
        <w:rPr>
          <w:rFonts w:ascii="仿宋" w:hAnsi="仿宋" w:eastAsia="仿宋"/>
          <w:sz w:val="32"/>
          <w:szCs w:val="32"/>
        </w:rPr>
        <w:t>。</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（七）优化招生模式，增强服务意识，规范招生秩序，招生就业呈现良好态势。</w:t>
      </w:r>
    </w:p>
    <w:p>
      <w:pPr>
        <w:widowControl/>
        <w:ind w:firstLine="640" w:firstLineChars="200"/>
        <w:jc w:val="left"/>
        <w:rPr>
          <w:rFonts w:ascii="仿宋" w:hAnsi="仿宋" w:eastAsia="仿宋"/>
          <w:sz w:val="32"/>
          <w:szCs w:val="32"/>
        </w:rPr>
      </w:pPr>
      <w:r>
        <w:rPr>
          <w:rFonts w:hint="eastAsia" w:ascii="仿宋" w:hAnsi="仿宋" w:eastAsia="仿宋"/>
          <w:sz w:val="32"/>
          <w:szCs w:val="32"/>
        </w:rPr>
        <w:t>学院优化招生模式，增强服务意识，招生工作取得极大突破，首次呈现全面提前停止报名的可喜现象。全年招收学生1957人，注册学籍1866人。</w:t>
      </w:r>
    </w:p>
    <w:p>
      <w:pPr>
        <w:widowControl/>
        <w:ind w:firstLine="640" w:firstLineChars="200"/>
        <w:jc w:val="left"/>
        <w:rPr>
          <w:rFonts w:ascii="仿宋" w:hAnsi="仿宋" w:eastAsia="仿宋"/>
          <w:sz w:val="32"/>
          <w:szCs w:val="32"/>
        </w:rPr>
      </w:pPr>
      <w:r>
        <w:rPr>
          <w:rFonts w:hint="eastAsia" w:ascii="仿宋" w:hAnsi="仿宋" w:eastAsia="仿宋"/>
          <w:sz w:val="32"/>
          <w:szCs w:val="32"/>
        </w:rPr>
        <w:t>通过加</w:t>
      </w:r>
      <w:r>
        <w:rPr>
          <w:rFonts w:ascii="仿宋" w:hAnsi="仿宋" w:eastAsia="仿宋"/>
          <w:sz w:val="32"/>
          <w:szCs w:val="32"/>
        </w:rPr>
        <w:t>强校地联系</w:t>
      </w:r>
      <w:r>
        <w:rPr>
          <w:rFonts w:hint="eastAsia" w:ascii="仿宋" w:hAnsi="仿宋" w:eastAsia="仿宋"/>
          <w:sz w:val="32"/>
          <w:szCs w:val="32"/>
        </w:rPr>
        <w:t>、</w:t>
      </w:r>
      <w:r>
        <w:rPr>
          <w:rFonts w:ascii="仿宋" w:hAnsi="仿宋" w:eastAsia="仿宋"/>
          <w:sz w:val="32"/>
          <w:szCs w:val="32"/>
        </w:rPr>
        <w:t>校企合作</w:t>
      </w:r>
      <w:r>
        <w:rPr>
          <w:rFonts w:hint="eastAsia" w:ascii="仿宋" w:hAnsi="仿宋" w:eastAsia="仿宋"/>
          <w:sz w:val="32"/>
          <w:szCs w:val="32"/>
        </w:rPr>
        <w:t>，促学生就业。积极</w:t>
      </w:r>
      <w:r>
        <w:rPr>
          <w:rFonts w:ascii="仿宋" w:hAnsi="仿宋" w:eastAsia="仿宋"/>
          <w:sz w:val="32"/>
          <w:szCs w:val="32"/>
        </w:rPr>
        <w:t>加强与</w:t>
      </w:r>
      <w:r>
        <w:rPr>
          <w:rFonts w:hint="eastAsia" w:ascii="仿宋" w:hAnsi="仿宋" w:eastAsia="仿宋"/>
          <w:sz w:val="32"/>
          <w:szCs w:val="32"/>
        </w:rPr>
        <w:t>崇州市人社局、国税局、图书馆、新经济与科技局、人才促进会、功能区管委会等联系，为学生就业搭建平台。</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（八）廉洁高效做好基建和实训室建设。</w:t>
      </w:r>
    </w:p>
    <w:p>
      <w:pPr>
        <w:widowControl/>
        <w:ind w:firstLine="640" w:firstLineChars="200"/>
        <w:jc w:val="left"/>
        <w:rPr>
          <w:rFonts w:ascii="仿宋" w:hAnsi="仿宋" w:eastAsia="仿宋"/>
          <w:sz w:val="32"/>
          <w:szCs w:val="32"/>
        </w:rPr>
      </w:pPr>
      <w:r>
        <w:rPr>
          <w:rFonts w:hint="eastAsia" w:ascii="仿宋" w:hAnsi="仿宋" w:eastAsia="仿宋"/>
          <w:sz w:val="32"/>
          <w:szCs w:val="32"/>
        </w:rPr>
        <w:t>充分发挥内审和纪检监察的监督职能，按照全过程跟踪监督原则，完成学院基础设施改造项目（雨污管网建设）、五人制足球场建设，有效改善了学院污水排放，增添了学生活动场所；修订《采购管理办法》，完成十个维修采购项目；申请示范校奖补资金500万元，用于运动场周边环境改造、建工实训中心钢构工程、学生宿舍采购空调、储物架等，其中部分项目已开始实施，部分项目进入政府采购程序。</w:t>
      </w:r>
    </w:p>
    <w:p>
      <w:pPr>
        <w:widowControl/>
        <w:ind w:firstLine="640" w:firstLineChars="200"/>
        <w:jc w:val="left"/>
        <w:rPr>
          <w:rFonts w:ascii="仿宋" w:hAnsi="仿宋" w:eastAsia="仿宋"/>
          <w:sz w:val="32"/>
          <w:szCs w:val="32"/>
        </w:rPr>
      </w:pPr>
      <w:r>
        <w:rPr>
          <w:rFonts w:hint="eastAsia" w:ascii="仿宋" w:hAnsi="仿宋" w:eastAsia="仿宋"/>
          <w:sz w:val="32"/>
          <w:szCs w:val="32"/>
        </w:rPr>
        <w:t>稳步推进建工实训中心和旅游专业餐饮、客房、茶艺三个实训室建设，新增美幼儿教育术室，完善实训设施，切实发挥实训室在专业教育中的重要作用。</w:t>
      </w:r>
    </w:p>
    <w:p>
      <w:pPr>
        <w:widowControl/>
        <w:ind w:firstLine="643" w:firstLineChars="200"/>
        <w:jc w:val="left"/>
        <w:rPr>
          <w:rFonts w:ascii="仿宋_GB2312" w:hAnsi="仿宋_GB2312" w:eastAsia="仿宋_GB2312" w:cs="仿宋_GB2312"/>
          <w:b/>
          <w:sz w:val="32"/>
          <w:szCs w:val="32"/>
        </w:rPr>
      </w:pPr>
      <w:r>
        <w:rPr>
          <w:rFonts w:hint="eastAsia" w:ascii="仿宋" w:hAnsi="仿宋" w:eastAsia="仿宋"/>
          <w:b/>
          <w:sz w:val="32"/>
          <w:szCs w:val="32"/>
        </w:rPr>
        <w:t>（九）强化民主管理、维护职工权益，增强队伍凝聚力。</w:t>
      </w:r>
    </w:p>
    <w:p>
      <w:pPr>
        <w:widowControl/>
        <w:ind w:firstLine="640" w:firstLineChars="200"/>
        <w:jc w:val="left"/>
        <w:rPr>
          <w:rFonts w:ascii="仿宋" w:hAnsi="仿宋" w:eastAsia="仿宋"/>
          <w:sz w:val="32"/>
          <w:szCs w:val="32"/>
        </w:rPr>
      </w:pPr>
      <w:r>
        <w:rPr>
          <w:rFonts w:hint="eastAsia" w:ascii="仿宋" w:hAnsi="仿宋" w:eastAsia="仿宋"/>
          <w:sz w:val="32"/>
          <w:szCs w:val="32"/>
        </w:rPr>
        <w:t>创新民主管理的方式，制定《系部民主管理实施办法（试行)》，加强民主监督，提高教师行使民主权利、参与民主管理的主动性，保障职工政治权益和劳动经济权益，构建和谐劳动关系，凝心聚力共谋发展。</w:t>
      </w:r>
    </w:p>
    <w:p>
      <w:pPr>
        <w:widowControl/>
        <w:ind w:firstLine="640" w:firstLineChars="200"/>
        <w:jc w:val="left"/>
        <w:rPr>
          <w:rFonts w:ascii="仿宋_GB2312" w:hAnsi="仿宋_GB2312" w:eastAsia="仿宋_GB2312" w:cs="仿宋_GB2312"/>
          <w:sz w:val="32"/>
          <w:szCs w:val="32"/>
        </w:rPr>
      </w:pPr>
      <w:r>
        <w:rPr>
          <w:rFonts w:hint="eastAsia" w:ascii="仿宋" w:hAnsi="仿宋" w:eastAsia="仿宋"/>
          <w:sz w:val="32"/>
          <w:szCs w:val="32"/>
        </w:rPr>
        <w:t>召开第六次职代会暨第四次工代会，选举了新一届的工会主席和三委委员，组织职工代表开展会员评家活动，为职工购买相关保险，并协助理赔。组织迎新晚会、三八节线上茶艺活动、职工篮球赛、钓鱼比赛、走访慰问困难职工和离退休职工，让教职工切实感受学院的关怀，有效增进团队凝聚力。全体职工勤奋工作，经济管理系被四川省总工会授予“五一巾帼标兵岗”称号</w:t>
      </w:r>
      <w:r>
        <w:rPr>
          <w:rFonts w:hint="eastAsia" w:ascii="仿宋_GB2312" w:hAnsi="仿宋_GB2312" w:eastAsia="仿宋_GB2312" w:cs="仿宋_GB2312"/>
          <w:sz w:val="32"/>
          <w:szCs w:val="32"/>
        </w:rPr>
        <w:t>。</w:t>
      </w:r>
    </w:p>
    <w:p>
      <w:pPr>
        <w:widowControl/>
        <w:ind w:firstLine="643" w:firstLineChars="200"/>
        <w:jc w:val="left"/>
        <w:rPr>
          <w:rFonts w:ascii="仿宋" w:hAnsi="仿宋" w:eastAsia="仿宋"/>
          <w:b/>
          <w:sz w:val="32"/>
          <w:szCs w:val="32"/>
        </w:rPr>
      </w:pPr>
      <w:r>
        <w:rPr>
          <w:rFonts w:hint="eastAsia" w:ascii="仿宋" w:hAnsi="仿宋" w:eastAsia="仿宋"/>
          <w:b/>
          <w:sz w:val="32"/>
          <w:szCs w:val="32"/>
        </w:rPr>
        <w:t>（十）从严从细，筑牢安全防线，关心关爱离退休职工，构建平安和谐校园。</w:t>
      </w:r>
    </w:p>
    <w:p>
      <w:pPr>
        <w:widowControl/>
        <w:ind w:firstLine="640" w:firstLineChars="200"/>
        <w:jc w:val="left"/>
        <w:rPr>
          <w:rFonts w:ascii="仿宋" w:hAnsi="仿宋" w:eastAsia="仿宋"/>
          <w:sz w:val="32"/>
          <w:szCs w:val="32"/>
        </w:rPr>
      </w:pPr>
      <w:r>
        <w:rPr>
          <w:rFonts w:hint="eastAsia" w:ascii="仿宋" w:hAnsi="仿宋" w:eastAsia="仿宋"/>
          <w:sz w:val="32"/>
          <w:szCs w:val="32"/>
        </w:rPr>
        <w:t>以消除事故隐患，筑牢安全防线为主题，</w:t>
      </w:r>
      <w:r>
        <w:rPr>
          <w:rFonts w:ascii="仿宋" w:hAnsi="仿宋" w:eastAsia="仿宋"/>
          <w:sz w:val="32"/>
          <w:szCs w:val="32"/>
        </w:rPr>
        <w:t>从严从实从细抓安全</w:t>
      </w:r>
      <w:r>
        <w:rPr>
          <w:rFonts w:hint="eastAsia" w:ascii="仿宋" w:hAnsi="仿宋" w:eastAsia="仿宋"/>
          <w:sz w:val="32"/>
          <w:szCs w:val="32"/>
        </w:rPr>
        <w:t>、保卫</w:t>
      </w:r>
      <w:r>
        <w:rPr>
          <w:rFonts w:ascii="仿宋" w:hAnsi="仿宋" w:eastAsia="仿宋"/>
          <w:sz w:val="32"/>
          <w:szCs w:val="32"/>
        </w:rPr>
        <w:t>工作，</w:t>
      </w:r>
      <w:r>
        <w:rPr>
          <w:rFonts w:hint="eastAsia" w:ascii="仿宋" w:hAnsi="仿宋" w:eastAsia="仿宋"/>
          <w:sz w:val="32"/>
          <w:szCs w:val="32"/>
        </w:rPr>
        <w:t>积极</w:t>
      </w:r>
      <w:r>
        <w:rPr>
          <w:rFonts w:ascii="仿宋" w:hAnsi="仿宋" w:eastAsia="仿宋"/>
          <w:sz w:val="32"/>
          <w:szCs w:val="32"/>
        </w:rPr>
        <w:t>推动安全风险管控和隐患排查治理，</w:t>
      </w:r>
      <w:r>
        <w:rPr>
          <w:rFonts w:hint="eastAsia" w:ascii="仿宋" w:hAnsi="仿宋" w:eastAsia="仿宋"/>
          <w:sz w:val="32"/>
          <w:szCs w:val="32"/>
        </w:rPr>
        <w:t>开展安全生产专项整治三年行动计划、完成安全生产清单制工作，加强法制宣传和普法教育，增强师生法制观念。做好信访和离退休工作，坚持上门服务、电话问候，将学院关爱传送给离退休职工和家属，确保校园安全稳定和谐。</w:t>
      </w:r>
    </w:p>
    <w:p>
      <w:pPr>
        <w:pStyle w:val="4"/>
        <w:numPr>
          <w:ilvl w:val="0"/>
          <w:numId w:val="1"/>
        </w:numPr>
        <w:rPr>
          <w:rFonts w:ascii="黑体" w:hAnsi="黑体" w:eastAsia="黑体"/>
          <w:b w:val="0"/>
        </w:rPr>
      </w:pPr>
      <w:bookmarkStart w:id="33" w:name="_Toc119056960"/>
      <w:r>
        <w:rPr>
          <w:rFonts w:hint="eastAsia" w:ascii="黑体" w:hAnsi="黑体" w:eastAsia="黑体"/>
          <w:b w:val="0"/>
        </w:rPr>
        <w:t>机构设置情况</w:t>
      </w:r>
      <w:bookmarkEnd w:id="33"/>
    </w:p>
    <w:p>
      <w:pPr>
        <w:pStyle w:val="2"/>
        <w:spacing w:before="93"/>
        <w:ind w:firstLine="640" w:firstLineChars="200"/>
        <w:rPr>
          <w:rFonts w:ascii="仿宋" w:hAnsi="仿宋" w:eastAsia="仿宋"/>
          <w:kern w:val="2"/>
          <w:sz w:val="32"/>
          <w:szCs w:val="32"/>
        </w:rPr>
      </w:pPr>
      <w:r>
        <w:rPr>
          <w:rFonts w:ascii="仿宋" w:hAnsi="仿宋" w:eastAsia="仿宋"/>
          <w:kern w:val="2"/>
          <w:sz w:val="32"/>
          <w:szCs w:val="32"/>
        </w:rPr>
        <w:t>我院行政管理部门及教学系机构</w:t>
      </w:r>
      <w:r>
        <w:rPr>
          <w:rFonts w:hint="eastAsia" w:ascii="仿宋" w:hAnsi="仿宋" w:eastAsia="仿宋"/>
          <w:kern w:val="2"/>
          <w:sz w:val="32"/>
          <w:szCs w:val="32"/>
        </w:rPr>
        <w:t>由16个组成，分别是：机电工程系，建筑与地质工程系、汽车工程系、经济管理系、基础教育系、院办公室、教务处、学生工作处、招生就业处、人力资源部、财务中心、审计、后勤服务处、技安保卫处（离退休科）、培训部、图书信息中心。</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ind w:right="440"/>
        <w:jc w:val="center"/>
        <w:rPr>
          <w:rStyle w:val="28"/>
          <w:rFonts w:ascii="黑体" w:hAnsi="黑体" w:eastAsia="黑体"/>
          <w:b w:val="0"/>
          <w:bCs/>
        </w:rPr>
      </w:pPr>
      <w:bookmarkStart w:id="34" w:name="_Toc119056961"/>
      <w:r>
        <w:rPr>
          <w:rFonts w:hint="eastAsia" w:ascii="黑体" w:hAnsi="黑体" w:eastAsia="黑体"/>
          <w:b w:val="0"/>
        </w:rPr>
        <w:t>第二部分 2020年度</w:t>
      </w:r>
      <w:r>
        <w:rPr>
          <w:rStyle w:val="28"/>
          <w:rFonts w:hint="eastAsia" w:ascii="黑体" w:hAnsi="黑体" w:eastAsia="黑体"/>
          <w:b w:val="0"/>
          <w:bCs/>
        </w:rPr>
        <w:t>单位决算情况说明</w:t>
      </w:r>
      <w:bookmarkEnd w:id="31"/>
      <w:bookmarkEnd w:id="32"/>
      <w:bookmarkEnd w:id="34"/>
    </w:p>
    <w:p/>
    <w:p>
      <w:pPr>
        <w:pStyle w:val="27"/>
        <w:numPr>
          <w:ilvl w:val="0"/>
          <w:numId w:val="2"/>
        </w:numPr>
        <w:spacing w:line="600" w:lineRule="exact"/>
        <w:ind w:firstLineChars="0"/>
        <w:outlineLvl w:val="1"/>
        <w:rPr>
          <w:rStyle w:val="29"/>
          <w:rFonts w:ascii="黑体" w:hAnsi="黑体" w:eastAsia="黑体"/>
          <w:b w:val="0"/>
        </w:rPr>
      </w:pPr>
      <w:bookmarkStart w:id="35" w:name="_Toc119056962"/>
      <w:bookmarkStart w:id="36" w:name="_Toc15377205"/>
      <w:bookmarkStart w:id="37"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35"/>
      <w:bookmarkEnd w:id="36"/>
      <w:bookmarkEnd w:id="37"/>
    </w:p>
    <w:p>
      <w:pPr>
        <w:spacing w:line="600" w:lineRule="exact"/>
        <w:ind w:firstLine="640" w:firstLineChars="200"/>
        <w:rPr>
          <w:rFonts w:ascii="仿宋" w:hAnsi="仿宋" w:eastAsia="仿宋"/>
          <w:sz w:val="32"/>
          <w:szCs w:val="32"/>
        </w:rPr>
      </w:pPr>
      <w:r>
        <w:rPr>
          <w:rFonts w:hint="eastAsia" w:ascii="仿宋" w:hAnsi="仿宋" w:eastAsia="仿宋"/>
          <w:sz w:val="32"/>
          <w:szCs w:val="32"/>
        </w:rPr>
        <w:t>2020年度收、支总计5860.70万元。与2019年相比，收、支总计各增加398.41万元，增长7.29%。主要变动原因是学生人数增加，生均拨款增加，免学费补助增加。</w:t>
      </w:r>
    </w:p>
    <w:p>
      <w:pPr>
        <w:pStyle w:val="2"/>
        <w:spacing w:before="93"/>
        <w:jc w:val="center"/>
      </w:pPr>
      <w:r>
        <w:drawing>
          <wp:inline distT="0" distB="0" distL="0" distR="0">
            <wp:extent cx="4733925" cy="26765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7"/>
        <w:numPr>
          <w:ilvl w:val="0"/>
          <w:numId w:val="2"/>
        </w:numPr>
        <w:spacing w:line="600" w:lineRule="exact"/>
        <w:ind w:firstLineChars="0"/>
        <w:outlineLvl w:val="1"/>
        <w:rPr>
          <w:rStyle w:val="29"/>
          <w:rFonts w:ascii="黑体" w:hAnsi="黑体" w:eastAsia="黑体"/>
          <w:b w:val="0"/>
        </w:rPr>
      </w:pPr>
      <w:bookmarkStart w:id="38" w:name="_Toc15377206"/>
      <w:bookmarkStart w:id="39" w:name="_Toc119056963"/>
      <w:bookmarkStart w:id="40" w:name="_Toc15396604"/>
      <w:r>
        <w:rPr>
          <w:rFonts w:hint="eastAsia" w:ascii="黑体" w:hAnsi="黑体" w:eastAsia="黑体"/>
          <w:sz w:val="32"/>
          <w:szCs w:val="32"/>
        </w:rPr>
        <w:t>收</w:t>
      </w:r>
      <w:r>
        <w:rPr>
          <w:rStyle w:val="29"/>
          <w:rFonts w:hint="eastAsia" w:ascii="黑体" w:hAnsi="黑体" w:eastAsia="黑体"/>
          <w:b w:val="0"/>
        </w:rPr>
        <w:t>入决算情况说明</w:t>
      </w:r>
      <w:bookmarkEnd w:id="38"/>
      <w:bookmarkEnd w:id="39"/>
      <w:bookmarkEnd w:id="40"/>
    </w:p>
    <w:p>
      <w:pPr>
        <w:spacing w:line="600" w:lineRule="exact"/>
        <w:ind w:firstLine="640" w:firstLineChars="200"/>
        <w:outlineLvl w:val="1"/>
        <w:rPr>
          <w:rFonts w:ascii="仿宋" w:hAnsi="仿宋" w:eastAsia="仿宋"/>
          <w:sz w:val="32"/>
          <w:szCs w:val="32"/>
        </w:rPr>
      </w:pPr>
      <w:bookmarkStart w:id="41" w:name="_Toc80618994"/>
      <w:bookmarkStart w:id="42" w:name="_Toc119056964"/>
      <w:bookmarkStart w:id="43" w:name="_Toc80284657"/>
      <w:r>
        <w:rPr>
          <w:rFonts w:hint="eastAsia" w:ascii="仿宋" w:hAnsi="仿宋" w:eastAsia="仿宋"/>
          <w:sz w:val="32"/>
          <w:szCs w:val="32"/>
        </w:rPr>
        <w:t>2020年本年收入合计5770.58万元，其中：一般公共预算财政拨款收入3952.48万元，占68.5%；政府性基金预算财政拨款收入0万元，占0%；上级补助收入0万元，占0%；事业收入1809.09万元，占31.4%；经营收入0万元，占0%；附属单位上缴收入0万元，占0%；其他收入9.01万元，占0.2%。</w:t>
      </w:r>
      <w:bookmarkEnd w:id="41"/>
      <w:bookmarkEnd w:id="42"/>
      <w:bookmarkEnd w:id="43"/>
    </w:p>
    <w:p>
      <w:pPr>
        <w:pStyle w:val="2"/>
        <w:spacing w:before="93"/>
        <w:jc w:val="center"/>
      </w:pPr>
      <w:r>
        <w:drawing>
          <wp:inline distT="0" distB="0" distL="0" distR="0">
            <wp:extent cx="4819650" cy="30765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44" w:name="_Toc119056965"/>
      <w:bookmarkStart w:id="45" w:name="_Toc15396605"/>
      <w:bookmarkStart w:id="46" w:name="_Toc15377207"/>
      <w:r>
        <w:rPr>
          <w:rFonts w:hint="eastAsia" w:ascii="黑体" w:hAnsi="黑体" w:eastAsia="黑体"/>
          <w:sz w:val="32"/>
          <w:szCs w:val="32"/>
        </w:rPr>
        <w:t>支</w:t>
      </w:r>
      <w:r>
        <w:rPr>
          <w:rStyle w:val="29"/>
          <w:rFonts w:hint="eastAsia" w:ascii="黑体" w:hAnsi="黑体" w:eastAsia="黑体"/>
          <w:b w:val="0"/>
        </w:rPr>
        <w:t>出决算情况说明</w:t>
      </w:r>
      <w:bookmarkEnd w:id="44"/>
      <w:bookmarkEnd w:id="45"/>
      <w:bookmarkEnd w:id="46"/>
    </w:p>
    <w:p>
      <w:pPr>
        <w:spacing w:line="600" w:lineRule="exact"/>
        <w:ind w:firstLine="640" w:firstLineChars="200"/>
        <w:outlineLvl w:val="1"/>
        <w:rPr>
          <w:rFonts w:ascii="仿宋" w:hAnsi="仿宋" w:eastAsia="仿宋"/>
          <w:sz w:val="32"/>
          <w:szCs w:val="32"/>
        </w:rPr>
      </w:pPr>
      <w:bookmarkStart w:id="47" w:name="_Toc119056966"/>
      <w:bookmarkStart w:id="48" w:name="_Toc80618996"/>
      <w:bookmarkStart w:id="49" w:name="_Toc80284659"/>
      <w:r>
        <w:rPr>
          <w:rFonts w:hint="eastAsia" w:ascii="仿宋" w:hAnsi="仿宋" w:eastAsia="仿宋"/>
          <w:sz w:val="32"/>
          <w:szCs w:val="32"/>
        </w:rPr>
        <w:t>2020年本年支出合计5860.70万元，其中：基本支出4139.61万元，占71%；项目支出1721.09万元，占29%；上缴上级支出0万元，占0%；经营支出0万元，占0%；对附属单位补助支出0万元，占0%。</w:t>
      </w:r>
      <w:bookmarkEnd w:id="47"/>
      <w:bookmarkEnd w:id="48"/>
      <w:bookmarkEnd w:id="49"/>
    </w:p>
    <w:p>
      <w:pPr>
        <w:pStyle w:val="2"/>
        <w:spacing w:before="93"/>
        <w:jc w:val="center"/>
      </w:pPr>
      <w:r>
        <w:drawing>
          <wp:inline distT="0" distB="0" distL="0" distR="0">
            <wp:extent cx="4486275" cy="24479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9"/>
          <w:rFonts w:ascii="黑体" w:hAnsi="黑体" w:eastAsia="黑体"/>
          <w:b w:val="0"/>
        </w:rPr>
      </w:pPr>
      <w:bookmarkStart w:id="50" w:name="_Toc15396606"/>
      <w:bookmarkStart w:id="51" w:name="_Toc119056967"/>
      <w:bookmarkStart w:id="52"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50"/>
      <w:bookmarkEnd w:id="51"/>
      <w:bookmarkEnd w:id="52"/>
    </w:p>
    <w:p>
      <w:pPr>
        <w:spacing w:line="600" w:lineRule="exact"/>
        <w:ind w:firstLine="640"/>
        <w:rPr>
          <w:rFonts w:ascii="仿宋" w:hAnsi="仿宋" w:eastAsia="仿宋"/>
          <w:b/>
          <w:sz w:val="32"/>
          <w:szCs w:val="32"/>
        </w:rPr>
      </w:pPr>
      <w:r>
        <w:rPr>
          <w:rFonts w:hint="eastAsia" w:ascii="仿宋" w:hAnsi="仿宋" w:eastAsia="仿宋"/>
          <w:sz w:val="32"/>
          <w:szCs w:val="32"/>
        </w:rPr>
        <w:t>2020年财政拨款收、支总计3952.48万元。与2019年相比，财政拨款收、支总计各增加338.75万元，增长9.37%。主要变动原因是学生人数增加，生均拨款增加，免学费补助增加。</w:t>
      </w:r>
    </w:p>
    <w:p>
      <w:pPr>
        <w:pStyle w:val="2"/>
        <w:spacing w:before="93"/>
        <w:jc w:val="center"/>
      </w:pPr>
      <w:r>
        <w:drawing>
          <wp:inline distT="0" distB="0" distL="0" distR="0">
            <wp:extent cx="5274310" cy="3076575"/>
            <wp:effectExtent l="0" t="0" r="254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9"/>
          <w:rFonts w:ascii="黑体" w:hAnsi="黑体" w:eastAsia="黑体"/>
          <w:b w:val="0"/>
        </w:rPr>
      </w:pPr>
      <w:bookmarkStart w:id="53" w:name="_Toc15377209"/>
      <w:bookmarkStart w:id="54" w:name="_Toc15396607"/>
      <w:bookmarkStart w:id="55" w:name="_Toc119056968"/>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53"/>
      <w:bookmarkEnd w:id="54"/>
      <w:bookmarkEnd w:id="55"/>
    </w:p>
    <w:p>
      <w:pPr>
        <w:spacing w:line="600" w:lineRule="exact"/>
        <w:ind w:firstLine="643" w:firstLineChars="200"/>
        <w:outlineLvl w:val="2"/>
        <w:rPr>
          <w:rFonts w:ascii="仿宋" w:hAnsi="仿宋" w:eastAsia="仿宋"/>
          <w:b/>
          <w:sz w:val="32"/>
          <w:szCs w:val="32"/>
        </w:rPr>
      </w:pPr>
      <w:bookmarkStart w:id="56" w:name="_Toc119056969"/>
      <w:bookmarkStart w:id="57" w:name="_Toc15377210"/>
      <w:r>
        <w:rPr>
          <w:rFonts w:hint="eastAsia" w:ascii="仿宋" w:hAnsi="仿宋" w:eastAsia="仿宋"/>
          <w:b/>
          <w:sz w:val="32"/>
          <w:szCs w:val="32"/>
        </w:rPr>
        <w:t>（一）一般公共预算财政拨款支出决算总体情况</w:t>
      </w:r>
      <w:bookmarkEnd w:id="56"/>
      <w:bookmarkEnd w:id="57"/>
    </w:p>
    <w:p>
      <w:pPr>
        <w:spacing w:line="600" w:lineRule="exact"/>
        <w:ind w:firstLine="640" w:firstLineChars="200"/>
        <w:rPr>
          <w:rFonts w:ascii="仿宋" w:hAnsi="仿宋" w:eastAsia="仿宋"/>
          <w:sz w:val="32"/>
          <w:szCs w:val="32"/>
        </w:rPr>
      </w:pPr>
      <w:r>
        <w:rPr>
          <w:rFonts w:hint="eastAsia" w:ascii="仿宋" w:hAnsi="仿宋" w:eastAsia="仿宋"/>
          <w:sz w:val="32"/>
          <w:szCs w:val="32"/>
        </w:rPr>
        <w:t>2020年一般公共预算财政拨款支出3952.48万元，占本年支出合计的67.44%。与2019年相比，一般公共预算财政拨款增加338.75万元，增长9.37%。主要变动原因是学生人数增加，相关支出增加。</w:t>
      </w:r>
    </w:p>
    <w:p>
      <w:pPr>
        <w:pStyle w:val="2"/>
        <w:spacing w:before="93"/>
        <w:jc w:val="center"/>
      </w:pPr>
      <w:r>
        <w:drawing>
          <wp:inline distT="0" distB="0" distL="0" distR="0">
            <wp:extent cx="5274310" cy="3384550"/>
            <wp:effectExtent l="0" t="0" r="254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58" w:name="_Toc15377211"/>
      <w:bookmarkStart w:id="59" w:name="_Toc119056970"/>
      <w:r>
        <w:rPr>
          <w:rFonts w:hint="eastAsia" w:ascii="仿宋" w:hAnsi="仿宋" w:eastAsia="仿宋"/>
          <w:b/>
          <w:sz w:val="32"/>
          <w:szCs w:val="32"/>
        </w:rPr>
        <w:t>（二）一般公共预算财政拨款支出决算结构情况</w:t>
      </w:r>
      <w:bookmarkEnd w:id="58"/>
      <w:bookmarkEnd w:id="59"/>
    </w:p>
    <w:p>
      <w:pPr>
        <w:spacing w:line="600" w:lineRule="exact"/>
        <w:ind w:firstLine="640"/>
        <w:rPr>
          <w:rFonts w:ascii="仿宋" w:hAnsi="仿宋" w:eastAsia="仿宋"/>
          <w:b/>
          <w:sz w:val="32"/>
          <w:szCs w:val="32"/>
        </w:rPr>
      </w:pPr>
      <w:r>
        <w:rPr>
          <w:rFonts w:hint="eastAsia" w:ascii="仿宋" w:hAnsi="仿宋" w:eastAsia="仿宋"/>
          <w:sz w:val="32"/>
          <w:szCs w:val="32"/>
        </w:rPr>
        <w:t>2020年一般公共预算财政拨款支出3952.48万元，主要用于以下方面:</w:t>
      </w:r>
      <w:r>
        <w:rPr>
          <w:rFonts w:hint="eastAsia" w:ascii="仿宋" w:hAnsi="仿宋" w:eastAsia="仿宋"/>
          <w:b/>
          <w:sz w:val="32"/>
          <w:szCs w:val="32"/>
        </w:rPr>
        <w:t>教育支出（类）</w:t>
      </w:r>
      <w:r>
        <w:rPr>
          <w:rFonts w:hint="eastAsia" w:ascii="仿宋" w:hAnsi="仿宋" w:eastAsia="仿宋"/>
          <w:sz w:val="32"/>
          <w:szCs w:val="32"/>
        </w:rPr>
        <w:t>3788.46万元，占95.85%；</w:t>
      </w:r>
      <w:r>
        <w:rPr>
          <w:rFonts w:hint="eastAsia" w:ascii="仿宋" w:hAnsi="仿宋" w:eastAsia="仿宋"/>
          <w:b/>
          <w:sz w:val="32"/>
          <w:szCs w:val="32"/>
        </w:rPr>
        <w:t>文化旅游体育与传媒（类）</w:t>
      </w:r>
      <w:r>
        <w:rPr>
          <w:rFonts w:hint="eastAsia" w:ascii="仿宋" w:hAnsi="仿宋" w:eastAsia="仿宋"/>
          <w:sz w:val="32"/>
          <w:szCs w:val="32"/>
        </w:rPr>
        <w:t>支出40万元，占1.01%；</w:t>
      </w:r>
      <w:r>
        <w:rPr>
          <w:rFonts w:hint="eastAsia" w:ascii="仿宋" w:hAnsi="仿宋" w:eastAsia="仿宋"/>
          <w:b/>
          <w:sz w:val="32"/>
          <w:szCs w:val="32"/>
        </w:rPr>
        <w:t>社会保障和就业（类）</w:t>
      </w:r>
      <w:r>
        <w:rPr>
          <w:rFonts w:hint="eastAsia" w:ascii="仿宋" w:hAnsi="仿宋" w:eastAsia="仿宋"/>
          <w:sz w:val="32"/>
          <w:szCs w:val="32"/>
        </w:rPr>
        <w:t>支出124.02万元，占3.14%。</w:t>
      </w:r>
    </w:p>
    <w:p>
      <w:pPr>
        <w:pStyle w:val="2"/>
        <w:spacing w:before="93"/>
        <w:jc w:val="center"/>
      </w:pPr>
      <w:r>
        <w:drawing>
          <wp:inline distT="0" distB="0" distL="0" distR="0">
            <wp:extent cx="3790950" cy="22860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60" w:name="_Toc15377212"/>
      <w:bookmarkStart w:id="61" w:name="_Toc119056971"/>
      <w:r>
        <w:rPr>
          <w:rFonts w:hint="eastAsia" w:ascii="仿宋" w:hAnsi="仿宋" w:eastAsia="仿宋"/>
          <w:b/>
          <w:sz w:val="32"/>
          <w:szCs w:val="32"/>
        </w:rPr>
        <w:t>（三）一般公共预算财政拨款支出决算具体情况</w:t>
      </w:r>
      <w:bookmarkEnd w:id="60"/>
      <w:bookmarkEnd w:id="61"/>
    </w:p>
    <w:p>
      <w:pPr>
        <w:spacing w:line="600" w:lineRule="exact"/>
        <w:ind w:firstLine="643" w:firstLineChars="200"/>
        <w:outlineLvl w:val="2"/>
        <w:rPr>
          <w:rStyle w:val="17"/>
          <w:rFonts w:ascii="仿宋" w:hAnsi="仿宋" w:eastAsia="仿宋"/>
          <w:bCs/>
          <w:sz w:val="32"/>
          <w:szCs w:val="32"/>
        </w:rPr>
      </w:pPr>
      <w:bookmarkStart w:id="62" w:name="_Toc80619002"/>
      <w:bookmarkStart w:id="63" w:name="_Toc80284665"/>
      <w:bookmarkStart w:id="64" w:name="_Toc119056972"/>
      <w:r>
        <w:rPr>
          <w:rStyle w:val="17"/>
          <w:rFonts w:hint="eastAsia" w:ascii="仿宋" w:hAnsi="仿宋" w:eastAsia="仿宋"/>
          <w:bCs/>
          <w:sz w:val="32"/>
          <w:szCs w:val="32"/>
        </w:rPr>
        <w:t>2020年般公共预算支出决算数为3952.48，完成预算100%。其中：</w:t>
      </w:r>
      <w:bookmarkEnd w:id="62"/>
      <w:bookmarkEnd w:id="63"/>
      <w:bookmarkEnd w:id="64"/>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 xml:space="preserve">1.教育（类）职业教育（款）中等职业教育（项）: </w:t>
      </w:r>
      <w:r>
        <w:rPr>
          <w:rStyle w:val="17"/>
          <w:rFonts w:hint="eastAsia" w:ascii="仿宋" w:hAnsi="仿宋" w:eastAsia="仿宋"/>
          <w:b w:val="0"/>
          <w:bCs/>
          <w:sz w:val="32"/>
          <w:szCs w:val="32"/>
        </w:rPr>
        <w:t>支出决算为3788.46万元，完成预算100%。</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 xml:space="preserve">2.文化旅游体育与传媒（类）体育（款）体育场馆（项）: </w:t>
      </w:r>
      <w:r>
        <w:rPr>
          <w:rStyle w:val="17"/>
          <w:rFonts w:hint="eastAsia" w:ascii="仿宋" w:hAnsi="仿宋" w:eastAsia="仿宋"/>
          <w:b w:val="0"/>
          <w:bCs/>
          <w:sz w:val="32"/>
          <w:szCs w:val="32"/>
        </w:rPr>
        <w:t>支出决算为40万元，完成预算100%。</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 xml:space="preserve">3.社会保障和就业（类）行政事业单位养老支出（款）事业单位离退休（项）、其他社会保障和就业支出（项）: </w:t>
      </w:r>
      <w:r>
        <w:rPr>
          <w:rStyle w:val="17"/>
          <w:rFonts w:hint="eastAsia" w:ascii="仿宋" w:hAnsi="仿宋" w:eastAsia="仿宋"/>
          <w:b w:val="0"/>
          <w:bCs/>
          <w:sz w:val="32"/>
          <w:szCs w:val="32"/>
        </w:rPr>
        <w:t>支出决算为124.02万元，完成预算100%。</w:t>
      </w:r>
    </w:p>
    <w:p>
      <w:pPr>
        <w:tabs>
          <w:tab w:val="right" w:pos="8306"/>
        </w:tabs>
        <w:spacing w:line="600" w:lineRule="exact"/>
        <w:ind w:firstLine="640"/>
        <w:outlineLvl w:val="1"/>
        <w:rPr>
          <w:rStyle w:val="29"/>
        </w:rPr>
      </w:pPr>
      <w:bookmarkStart w:id="65" w:name="_Toc15377214"/>
      <w:bookmarkStart w:id="66" w:name="_Toc15396608"/>
      <w:bookmarkStart w:id="67" w:name="_Toc11905697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5"/>
      <w:bookmarkEnd w:id="66"/>
      <w:bookmarkEnd w:id="67"/>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2020年一般公共预算财政拨款基本支出2231.39万元，其中：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1879.94万元，主要包括：基本工资、津贴补贴、绩效工资、机关事业单位基本养老保险缴费、职业年金缴费、职工基本医疗保险缴费、其他社会保障缴费、离休费、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公用经费351.45万元，主要包括：办公费、印刷费、水费、电费、邮电费、差旅费、维修（护）费、劳务费、工会经费、福利费、其他商品和服务支出等。</w:t>
      </w:r>
    </w:p>
    <w:p>
      <w:pPr>
        <w:spacing w:line="600" w:lineRule="exact"/>
        <w:ind w:firstLine="640"/>
        <w:outlineLvl w:val="1"/>
        <w:rPr>
          <w:rStyle w:val="29"/>
          <w:rFonts w:ascii="黑体" w:hAnsi="黑体" w:eastAsia="黑体"/>
          <w:b w:val="0"/>
        </w:rPr>
      </w:pPr>
      <w:bookmarkStart w:id="68" w:name="_Toc15396609"/>
      <w:bookmarkStart w:id="69" w:name="_Toc15377215"/>
      <w:bookmarkStart w:id="70" w:name="_Toc119056974"/>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8"/>
      <w:bookmarkEnd w:id="69"/>
      <w:bookmarkEnd w:id="7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20年“三公”经费财政拨款支出</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本单位为事业单位，无三公经费。</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年三公经费为0,</w:t>
      </w:r>
      <w:r>
        <w:rPr>
          <w:rFonts w:ascii="仿宋_GB2312" w:eastAsia="仿宋_GB2312"/>
          <w:sz w:val="32"/>
          <w:szCs w:val="32"/>
        </w:rPr>
        <w:t>2020</w:t>
      </w:r>
      <w:r>
        <w:rPr>
          <w:rFonts w:hint="eastAsia" w:ascii="仿宋_GB2312" w:eastAsia="仿宋_GB2312"/>
          <w:sz w:val="32"/>
          <w:szCs w:val="32"/>
        </w:rPr>
        <w:t>年三公经费为0，与上年度一致，与上年度相比无增减变化。</w:t>
      </w:r>
    </w:p>
    <w:p>
      <w:pPr>
        <w:spacing w:line="600" w:lineRule="exact"/>
        <w:ind w:firstLine="640"/>
        <w:outlineLvl w:val="1"/>
        <w:rPr>
          <w:rStyle w:val="29"/>
          <w:rFonts w:ascii="黑体" w:hAnsi="黑体" w:eastAsia="黑体"/>
        </w:rPr>
      </w:pPr>
      <w:bookmarkStart w:id="71" w:name="_Toc15377218"/>
      <w:bookmarkStart w:id="72" w:name="_Toc15396610"/>
      <w:bookmarkStart w:id="73" w:name="_Toc119056975"/>
      <w:r>
        <w:rPr>
          <w:rFonts w:hint="eastAsia" w:ascii="黑体" w:eastAsia="黑体"/>
          <w:sz w:val="32"/>
          <w:szCs w:val="32"/>
        </w:rPr>
        <w:t>八、</w:t>
      </w:r>
      <w:r>
        <w:rPr>
          <w:rStyle w:val="29"/>
          <w:rFonts w:hint="eastAsia" w:ascii="黑体" w:hAnsi="黑体" w:eastAsia="黑体"/>
          <w:b w:val="0"/>
        </w:rPr>
        <w:t>政府性基金预算支出决算情况说明</w:t>
      </w:r>
      <w:bookmarkEnd w:id="71"/>
      <w:bookmarkEnd w:id="72"/>
      <w:bookmarkEnd w:id="7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74" w:name="_Toc15396611"/>
      <w:bookmarkStart w:id="75" w:name="_Toc119056976"/>
      <w:bookmarkStart w:id="76" w:name="_Toc15377219"/>
      <w:r>
        <w:rPr>
          <w:rStyle w:val="29"/>
          <w:rFonts w:hint="eastAsia" w:ascii="黑体" w:hAnsi="黑体" w:eastAsia="黑体"/>
          <w:b w:val="0"/>
        </w:rPr>
        <w:t>国有资本经营预算支出决算情况说明</w:t>
      </w:r>
      <w:bookmarkEnd w:id="74"/>
      <w:bookmarkEnd w:id="75"/>
      <w:bookmarkEnd w:id="7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77" w:name="_Toc15377221"/>
      <w:bookmarkStart w:id="78" w:name="_Toc15396612"/>
      <w:bookmarkStart w:id="79" w:name="_Toc119056977"/>
      <w:r>
        <w:rPr>
          <w:rStyle w:val="29"/>
          <w:rFonts w:hint="eastAsia" w:ascii="黑体" w:hAnsi="黑体" w:eastAsia="黑体"/>
          <w:b w:val="0"/>
        </w:rPr>
        <w:t>其他重要事项的情况说明</w:t>
      </w:r>
      <w:bookmarkEnd w:id="77"/>
      <w:bookmarkEnd w:id="78"/>
      <w:bookmarkEnd w:id="79"/>
    </w:p>
    <w:p>
      <w:pPr>
        <w:spacing w:line="600" w:lineRule="exact"/>
        <w:ind w:firstLine="643" w:firstLineChars="200"/>
        <w:outlineLvl w:val="2"/>
        <w:rPr>
          <w:rFonts w:ascii="仿宋" w:hAnsi="仿宋" w:eastAsia="仿宋"/>
          <w:sz w:val="32"/>
          <w:szCs w:val="32"/>
        </w:rPr>
      </w:pPr>
      <w:bookmarkStart w:id="80" w:name="_Toc119056978"/>
      <w:bookmarkStart w:id="81" w:name="_Toc15377222"/>
      <w:r>
        <w:rPr>
          <w:rFonts w:hint="eastAsia" w:ascii="仿宋" w:hAnsi="仿宋" w:eastAsia="仿宋"/>
          <w:b/>
          <w:sz w:val="32"/>
          <w:szCs w:val="32"/>
        </w:rPr>
        <w:t>（一）政府</w:t>
      </w:r>
      <w:r>
        <w:rPr>
          <w:rFonts w:ascii="仿宋" w:hAnsi="仿宋" w:eastAsia="仿宋"/>
          <w:b/>
          <w:sz w:val="32"/>
          <w:szCs w:val="32"/>
        </w:rPr>
        <w:t>采购支出情况</w:t>
      </w:r>
      <w:bookmarkEnd w:id="80"/>
      <w:bookmarkEnd w:id="81"/>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四川矿产机电技师学院政府采购支出总额264.2万元，其中：政府采购货物支出9.2万元、政府采购工程支出255万元。主要用于学院雨污分流工程项目，及服务器采购项目。授予中小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2" w:name="_Toc15377223"/>
      <w:bookmarkStart w:id="83" w:name="_Toc119056979"/>
      <w:r>
        <w:rPr>
          <w:rFonts w:hint="eastAsia" w:ascii="仿宋" w:hAnsi="仿宋" w:eastAsia="仿宋"/>
          <w:b/>
          <w:sz w:val="32"/>
          <w:szCs w:val="32"/>
        </w:rPr>
        <w:t>（二）</w:t>
      </w:r>
      <w:bookmarkEnd w:id="82"/>
      <w:r>
        <w:rPr>
          <w:rFonts w:hint="eastAsia" w:ascii="仿宋" w:hAnsi="仿宋" w:eastAsia="仿宋"/>
          <w:b/>
          <w:sz w:val="32"/>
          <w:szCs w:val="32"/>
        </w:rPr>
        <w:t>国有资产占有使用情况</w:t>
      </w:r>
      <w:bookmarkEnd w:id="83"/>
    </w:p>
    <w:p>
      <w:pPr>
        <w:spacing w:line="600" w:lineRule="exact"/>
        <w:ind w:firstLine="640" w:firstLineChars="200"/>
        <w:rPr>
          <w:rFonts w:ascii="仿宋_GB2312" w:eastAsia="仿宋_GB2312"/>
          <w:sz w:val="32"/>
          <w:szCs w:val="32"/>
        </w:rPr>
      </w:pPr>
      <w:r>
        <w:rPr>
          <w:rFonts w:hint="eastAsia" w:ascii="仿宋_GB2312" w:eastAsia="仿宋_GB2312"/>
          <w:sz w:val="32"/>
          <w:szCs w:val="32"/>
        </w:rPr>
        <w:t>截至2020年12月31日，四川矿产机电技师学院共有车辆4辆，其中：主要领导干部用车0辆、机要通信用车0辆、应急保障用车0辆、其他用车4辆，其他用车主要是用于学院日常用车。单价50万元以上通用设备2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4" w:name="_Toc119056980"/>
      <w:r>
        <w:rPr>
          <w:rFonts w:hint="eastAsia" w:ascii="仿宋" w:hAnsi="仿宋" w:eastAsia="仿宋"/>
          <w:b/>
          <w:sz w:val="32"/>
          <w:szCs w:val="32"/>
        </w:rPr>
        <w:t>（三）预算绩效管理情况</w:t>
      </w:r>
      <w:bookmarkEnd w:id="8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2020年度预算编制阶段，组织对现代职业教育提升计划项目编制了绩效目标，预算执行过程中，对藏彝区9+3免费教育省级补助资金项目、现代职业教育提升计划项目、中职教育免费中央补助项目、中职教育免学费省级补助项目开展绩效监控，年终执行完毕后，对4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本单位在2020年度部门决算中反映“藏彝区9+3免费教育省级补助资金项目”“现代职业教育提升计划项目”“中职教育免费中央补助项目”“中职教育免学费省级补助项目”等4个项目绩效目标实际完成情况。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（1）藏彝区9+3免费教育省级补助资金项目绩效目标完成情况综述。项目全年预算数148万元，执行数为148万元，完成预算的100%。通过项目实施，保障了藏彝区9+3学生享受免费职业教育。</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代职业教育提升计划项目绩效目标完成情况综述。项目全年预算数300万元，执行数为255万元，完成预算的85%。通过项目实施，解决了学院长期存在的雨污混流的问题，使本学院的排污达到了环保的要求改善了学院办学条件。发现的主要问题：预算安排较实际执行有偏差。下一步改进措施：进一步加强项目测算，提高预算准确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职教育免费中央补助项目绩效目标完成情况综述。项目全年预算数541.3万元，执行数为541.3万元，完成预算的100%。通过项目实施，促进了中等职业教育加快发展和科学发展，更好地满足了培养建设西部经济发展高地技能型实用人才需要。助学金政策的实施保障了家庭困难学生能够完成中职学业。发放国家奖学金激发了中职学生的学习兴趣，提高了教学质量和学生管理质量。</w:t>
      </w:r>
    </w:p>
    <w:p>
      <w:pPr>
        <w:spacing w:line="580" w:lineRule="exact"/>
        <w:ind w:firstLine="640" w:firstLineChars="200"/>
        <w:rPr>
          <w:rFonts w:ascii="仿宋_GB2312" w:hAnsi="仿宋_GB2312" w:eastAsia="仿宋_GB2312" w:cs="仿宋_GB2312"/>
          <w:sz w:val="32"/>
          <w:szCs w:val="32"/>
        </w:rPr>
        <w:sectPr>
          <w:headerReference r:id="rId8" w:type="first"/>
          <w:headerReference r:id="rId7"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sz w:val="32"/>
          <w:szCs w:val="32"/>
        </w:rPr>
        <w:t>（4）中职教育免学费省级补助项目绩效目标完成情况综述。项目全年预算数436.77万元，执行数为436.77万元，完成预算的100%。通过项目实施，促进了中等职业教育加快发展和科学发展，更好地满足了培养建设西部经济发展高地技能型实用人才需要。助学金政策的实施保障了家庭困难学生能够完成中职学业。</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藏彝区9+3免费教育计划省级补助资金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四川矿产机电技师学院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148</w:t>
            </w:r>
          </w:p>
        </w:tc>
      </w:tr>
      <w:tr>
        <w:tblPrEx>
          <w:tblCellMar>
            <w:top w:w="0" w:type="dxa"/>
            <w:left w:w="0" w:type="dxa"/>
            <w:bottom w:w="0" w:type="dxa"/>
            <w:right w:w="0" w:type="dxa"/>
          </w:tblCellMar>
        </w:tblPrEx>
        <w:trPr>
          <w:trHeight w:val="1559"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在校录取的彝区9+3学生均享受免费教育。</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度我院共有彝区免费职业教育学生267人，省财政拨付我院“藏彝区9+3免费职业教育专项资金”148万元，全部用于彝区学生的生活补助、三项（书本、交通、住宿）杂费、冬装补助、毕业生就业工作经费、城镇医疗保险等支出。</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藏区和大小凉山彝区“9+3”应受助学生数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267人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学生免费教育普及率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年底前全部完成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年底前全部完成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学生就业率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受资助学生满意度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现代职业教育质量提升计划</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四川矿产机电技师学院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255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255</w:t>
            </w:r>
          </w:p>
        </w:tc>
      </w:tr>
      <w:tr>
        <w:tblPrEx>
          <w:tblCellMar>
            <w:top w:w="0" w:type="dxa"/>
            <w:left w:w="0" w:type="dxa"/>
            <w:bottom w:w="0" w:type="dxa"/>
            <w:right w:w="0" w:type="dxa"/>
          </w:tblCellMar>
        </w:tblPrEx>
        <w:trPr>
          <w:trHeight w:val="278"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改善办学条件，完成雨污分流达标排放和主供水管更换。到2021年实现2目标。</w:t>
            </w:r>
          </w:p>
          <w:p>
            <w:pPr>
              <w:widowControl/>
              <w:jc w:val="center"/>
              <w:textAlignment w:val="center"/>
              <w:rPr>
                <w:rFonts w:ascii="宋体" w:hAnsi="宋体" w:cs="宋体"/>
                <w:sz w:val="24"/>
              </w:rPr>
            </w:pPr>
            <w:r>
              <w:rPr>
                <w:rFonts w:hint="eastAsia" w:ascii="宋体" w:hAnsi="宋体" w:cs="宋体"/>
                <w:sz w:val="24"/>
              </w:rPr>
              <w:t xml:space="preserve"> 目标1：建设示范（特色）专业1个</w:t>
            </w:r>
          </w:p>
          <w:p>
            <w:pPr>
              <w:widowControl/>
              <w:jc w:val="center"/>
              <w:textAlignment w:val="center"/>
              <w:rPr>
                <w:rFonts w:ascii="宋体" w:hAnsi="宋体" w:cs="宋体"/>
                <w:sz w:val="24"/>
              </w:rPr>
            </w:pPr>
            <w:r>
              <w:rPr>
                <w:rFonts w:hint="eastAsia" w:ascii="宋体" w:hAnsi="宋体" w:cs="宋体"/>
                <w:sz w:val="24"/>
              </w:rPr>
              <w:t xml:space="preserve"> 目标2：提升薄弱中职学校办学条件建设项目2个（运动场改造项目、教学基础设施改造项目）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本项目实施完成，改造了学院教学区雨污分流管网,完成了雨污管网分流铺设，学院的排污达到了环保要求。建设成了一个示范专业，改善了学院办学条件。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851"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混凝土路面破碎开挖与恢复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9000平方米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9207平方米</w:t>
            </w:r>
          </w:p>
        </w:tc>
      </w:tr>
      <w:tr>
        <w:tblPrEx>
          <w:tblCellMar>
            <w:top w:w="0" w:type="dxa"/>
            <w:left w:w="0" w:type="dxa"/>
            <w:bottom w:w="0" w:type="dxa"/>
            <w:right w:w="0" w:type="dxa"/>
          </w:tblCellMar>
        </w:tblPrEx>
        <w:trPr>
          <w:trHeight w:val="851"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铺设安装雨水管、污水管和供水管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5600米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5678.85米</w:t>
            </w:r>
          </w:p>
        </w:tc>
      </w:tr>
      <w:tr>
        <w:tblPrEx>
          <w:tblCellMar>
            <w:top w:w="0" w:type="dxa"/>
            <w:left w:w="0" w:type="dxa"/>
            <w:bottom w:w="0" w:type="dxa"/>
            <w:right w:w="0" w:type="dxa"/>
          </w:tblCellMar>
        </w:tblPrEx>
        <w:trPr>
          <w:trHeight w:val="851"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满足生活污水排放量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7000人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雨污管网改造及学生活动场地及教学场地周边环境改造项目验收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雨污管网改造及学生活动场地及教学场地周边环境改造项目验收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达标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建设项目完成时限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按方案规定时限内完成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w:t>
            </w:r>
          </w:p>
        </w:tc>
      </w:tr>
      <w:tr>
        <w:tblPrEx>
          <w:tblCellMar>
            <w:top w:w="0" w:type="dxa"/>
            <w:left w:w="0" w:type="dxa"/>
            <w:bottom w:w="0" w:type="dxa"/>
            <w:right w:w="0" w:type="dxa"/>
          </w:tblCellMar>
        </w:tblPrEx>
        <w:trPr>
          <w:trHeight w:val="851"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为经济社会发展提供技术技能型人才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≥1500名/年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1700名/年</w:t>
            </w:r>
          </w:p>
        </w:tc>
      </w:tr>
      <w:tr>
        <w:tblPrEx>
          <w:tblCellMar>
            <w:top w:w="0" w:type="dxa"/>
            <w:left w:w="0" w:type="dxa"/>
            <w:bottom w:w="0" w:type="dxa"/>
            <w:right w:w="0" w:type="dxa"/>
          </w:tblCellMar>
        </w:tblPrEx>
        <w:trPr>
          <w:trHeight w:val="851" w:hRule="exac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受益学生数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≥5000名/年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5850名/年</w:t>
            </w:r>
          </w:p>
        </w:tc>
      </w:tr>
      <w:tr>
        <w:tblPrEx>
          <w:tblCellMar>
            <w:top w:w="0" w:type="dxa"/>
            <w:left w:w="0" w:type="dxa"/>
            <w:bottom w:w="0" w:type="dxa"/>
            <w:right w:w="0" w:type="dxa"/>
          </w:tblCellMar>
        </w:tblPrEx>
        <w:trPr>
          <w:trHeight w:val="851" w:hRule="exac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学生、教师满意度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2020年第一批学生资助中职教育中央补助资金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四川矿产机电技师学院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541.3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541.3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541.3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541.3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在校学生均享受免学费补助政策。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免学费补助用于学院的教学等日常支出，保障了在校3435名中职学生免交学费后的正常教学；助学金发放给479名家庭困难学生，帮助他们完成学业；发放国家奖学金激发了中职学生的学习兴趣，提高了教学质量和学生管理质量。</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中职免学费应受助学生数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3435人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奖助学金按规定及时发放率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发放完成时间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年底前全部完成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2020年底全部完成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中职毕业生就业率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99%</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受资助学生满意度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中等职业教育免学费和助学金省级补助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四川矿产机电技师学院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436.77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436.77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436.77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436.77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在校学生均享受免学费和助学金补助。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免学费补助用于学院的教学等日常支出，保障了在校3435名中职学生免交学费后的正常教学，助学金发放给479名家庭困难学生，帮助他们完成学业。</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中职免学费应受助学生数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3435人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奖助学金按规定及时发放率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发放完成时间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年底前全部完成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2020年底全部完成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中职毕业生就业率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99%</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受资助学生满意度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2.单位绩效评价结果。</w:t>
      </w:r>
    </w:p>
    <w:p>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本单位对“藏彝区9+3免费教育省级补助资金项目”“现代职业教育提升计划项目”“中职教育免费中央补助项目”“中职教育免学费省级补助项目”共4个项目开展了绩效评价，《2020年藏彝区9+3免费教育省级补助资金项目支出绩效自评报告》、《2020年现代职业教育提升计划项目支出绩效自评报告》、《2020年中职教育免费中央补助项目支出绩效自评报告》、《2020年中职教育免学费省级补助项目支出绩效自评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85" w:name="_Toc119056981"/>
      <w:bookmarkStart w:id="86" w:name="_Toc15377225"/>
      <w:bookmarkStart w:id="87"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85"/>
      <w:bookmarkEnd w:id="86"/>
      <w:bookmarkEnd w:id="87"/>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2.事业收入：指事业单位开展专业业务活动及辅助活动取得的收入。主要是教育收费等。</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4.其他收入：指单位取得的除上述收入以外的各项收入。主要是离休干部医药费补助、利息收入等。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9.教育（类）职业教育（款）中等职业教育（项）：指反映各部门举办的中等职业教育支出。政府各部门对社会组织等举办的中等职业学校的资助，如捐赠、补贴等，也在本科目中反映。</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10.文化体育与传媒（类）体育（款）体育场馆（项）：指反映体育场馆建设及维护等方面的支出。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11.社会保障和就业（类）行政事业单位养老支出（款）事业单位离退休（项）：指反映事业单位开支的离退休经费。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12.社会保障和就业（类）其他社会保障和就业支出（款）其他社会保障和就业支出（项）：指反映其他用于社会保障和就业方面的支出。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13.基本支出：指为保障机构正常运转、完成日常工作任务而发生的人员支出和公用支出。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14.项目支出：指在基本支出之外为完成特定行政任务和事业发展目标所发生的支出。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color w:val="000000"/>
          <w:sz w:val="32"/>
          <w:szCs w:val="32"/>
        </w:rPr>
      </w:pPr>
    </w:p>
    <w:p>
      <w:pPr>
        <w:spacing w:line="600" w:lineRule="exact"/>
        <w:jc w:val="center"/>
        <w:outlineLvl w:val="0"/>
        <w:rPr>
          <w:rStyle w:val="28"/>
          <w:rFonts w:ascii="黑体" w:hAnsi="黑体" w:eastAsia="黑体"/>
          <w:b w:val="0"/>
        </w:rPr>
      </w:pPr>
      <w:bookmarkStart w:id="88" w:name="_Toc15377226"/>
      <w:r>
        <w:rPr>
          <w:rFonts w:ascii="宋体"/>
          <w:b/>
          <w:color w:val="000000"/>
          <w:sz w:val="44"/>
          <w:szCs w:val="44"/>
        </w:rPr>
        <w:br w:type="page"/>
      </w:r>
      <w:bookmarkStart w:id="89" w:name="_Toc15396614"/>
      <w:bookmarkStart w:id="90" w:name="_Toc119056982"/>
      <w:r>
        <w:rPr>
          <w:rFonts w:hint="eastAsia" w:ascii="黑体" w:hAnsi="黑体" w:eastAsia="黑体"/>
          <w:color w:val="000000"/>
          <w:sz w:val="44"/>
          <w:szCs w:val="44"/>
        </w:rPr>
        <w:t>第</w:t>
      </w:r>
      <w:r>
        <w:rPr>
          <w:rStyle w:val="28"/>
          <w:rFonts w:hint="eastAsia" w:ascii="黑体" w:hAnsi="黑体" w:eastAsia="黑体"/>
          <w:b w:val="0"/>
        </w:rPr>
        <w:t>四部分 附件</w:t>
      </w:r>
      <w:bookmarkEnd w:id="89"/>
      <w:bookmarkEnd w:id="90"/>
    </w:p>
    <w:p>
      <w:pPr>
        <w:spacing w:line="580" w:lineRule="exact"/>
        <w:rPr>
          <w:rFonts w:ascii="仿宋_GB2312" w:hAnsi="仿宋_GB2312" w:eastAsia="仿宋_GB2312" w:cs="仿宋_GB2312"/>
          <w:sz w:val="32"/>
          <w:szCs w:val="32"/>
        </w:r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2020年四川矿产机电技师学院</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项目支出绩效自评报告</w:t>
      </w:r>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（藏彝区9+3免费教育计划省级补助资金项目）</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四川省财政厅、四川省教育厅川财教[2020]23号文《四川省财政厅 四川省教育厅关于藏彝区“9+3”免费教育计划省级补助资金2019年结算及2020年预拨的通知》下达我院藏彝区“9+3”免费教育计划省级补助资金148万元。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保证彝区在校学生267人的教育、生活及城镇医疗保险。秋季一年级98人的冬装补助、春季三年级25人的就业工作。</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本项目申报内容是藏彝区“9+3”免费教育补助资金，与具体实施内容完全相符、申报目标合理可行。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sz w:val="32"/>
          <w:szCs w:val="32"/>
          <w:lang w:val="zh-CN"/>
        </w:rPr>
        <w:t>四川省财政厅、四川省教育厅川财教[2020]23号文《四川省财政厅 四川省教育厅关于藏彝区“9+3”免费教育计划省级补助资金2019年结算及2020年预拨的通知》下达我院藏彝区“9+3”免费教育计划省级补助资金148万元。2020年4月全部资金到位。到位率100%。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2．资金使用。</w:t>
      </w:r>
      <w:r>
        <w:rPr>
          <w:rFonts w:hint="eastAsia" w:ascii="仿宋_GB2312" w:hAnsi="宋体" w:eastAsia="仿宋_GB2312"/>
          <w:sz w:val="32"/>
          <w:szCs w:val="32"/>
          <w:lang w:val="zh-CN"/>
        </w:rPr>
        <w:t>为了贯彻落实四川省委、省政府关于“进一步重视大小凉山扶贫工作，打一场彝区脱贫攻坚战”的决策部署，认真实施大小凉山彝区“十项扶贫工程”中的职业技术培训工程，从2014年秋季我院开始承担彝区9+3免费职业教育。2020年度我院共有彝区免费职业教育学生267人，省财政拨付我院“藏彝区9+3免费职业教育专项资金”148万元，全部用于藏彝区学生的生活补助、三项（书本、交通、住宿）杂费、冬装补助、毕业生就业工作经费、城镇医疗保险、教育、住宿等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内控制度建设中本单位制定了《内部控制手册》，对项目财务管理做出了明确的规定，并随业务开展不断完善内控制度建设。本单位设置财务中心办理会计业务。执行《政府会计制度》，按项目设置明细分类账核算项目资金收支。项目严格执行财务管理制度、财务处理当天入账、会计核算规。接受主管局每年一度的财务收支审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学院从承担彝区“9+3”免费中职教育开始就制定了《四川矿产机电技师学院彝区“9+3”免费中职教育工作实施方案》川矿机电院[2014]28号文，成立了学院“9+3”学生免费中职教育工作领导小组，成立了学生管理工作组、安全保卫组、教学管理组、后勤保障组、就业保障组和艺体活动组等彝区免中职教育相关工作组。制定了组织保障、制度保障和经费保障等保障机制。按时发放彝区“9+3”和藏区“9+5”学生的生活补助、冬装补助、交通费等，及时缴纳保险费等业务。为彝区“9+3”和藏区“9+5”学生提供免费教育和住宿。</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2020年度我院共有彝区免费职业教育学生267人，省财政拨付我院“藏彝区9+3免费职业教育专项资金”148万元，全部用于彝区学生的生活补助、三项（书本、交通、住宿）杂费、冬装补助、毕业生就业工作经费、城镇医疗保险等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贯彻落实了四川省委、省政府关于“进一步重视大小凉山扶贫工作，打一场彝区脱贫攻坚战”的决策部署，认真实施了大小凉山彝区“十项扶贫工程”中的职业技术培训工程。学生满意度100%，学生家长满意度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ascii="楷体_GB2312" w:hAnsi="宋体" w:eastAsia="楷体_GB2312"/>
          <w:b/>
          <w:sz w:val="32"/>
          <w:szCs w:val="32"/>
          <w:lang w:val="zh-CN"/>
        </w:rPr>
        <w:t>无</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（二）相关建议：无</w:t>
      </w:r>
    </w:p>
    <w:p>
      <w:pPr>
        <w:pStyle w:val="2"/>
        <w:spacing w:before="93"/>
        <w:rPr>
          <w:lang w:val="zh-CN"/>
        </w:rPr>
        <w:sectPr>
          <w:pgSz w:w="11906" w:h="16838"/>
          <w:pgMar w:top="1440" w:right="1800" w:bottom="1440" w:left="1800" w:header="851" w:footer="992" w:gutter="0"/>
          <w:cols w:space="425" w:num="1"/>
          <w:docGrid w:type="lines" w:linePitch="312" w:charSpace="0"/>
        </w:sect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w:t>
      </w:r>
      <w:r>
        <w:rPr>
          <w:rFonts w:hint="eastAsia" w:ascii="方正小标宋简体" w:hAnsi="宋体" w:eastAsia="方正小标宋简体"/>
          <w:kern w:val="0"/>
          <w:sz w:val="44"/>
          <w:szCs w:val="44"/>
        </w:rPr>
        <w:t>0</w:t>
      </w:r>
      <w:r>
        <w:rPr>
          <w:rFonts w:hint="eastAsia" w:ascii="方正小标宋简体" w:hAnsi="宋体" w:eastAsia="方正小标宋简体"/>
          <w:kern w:val="0"/>
          <w:sz w:val="44"/>
          <w:szCs w:val="44"/>
          <w:lang w:val="zh-CN"/>
        </w:rPr>
        <w:t>年四川矿产机电技师学院</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项目支出绩效自评报告</w:t>
      </w:r>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（现代职业教育提升计划项目）</w:t>
      </w:r>
    </w:p>
    <w:p>
      <w:pPr>
        <w:adjustRightInd w:val="0"/>
        <w:snapToGrid w:val="0"/>
        <w:spacing w:line="580" w:lineRule="exact"/>
        <w:ind w:firstLine="720"/>
        <w:rPr>
          <w:rFonts w:ascii="黑体" w:hAnsi="宋体" w:eastAsia="黑体"/>
          <w:sz w:val="32"/>
          <w:szCs w:val="32"/>
        </w:rPr>
      </w:pPr>
    </w:p>
    <w:p>
      <w:pPr>
        <w:adjustRightInd w:val="0"/>
        <w:snapToGrid w:val="0"/>
        <w:spacing w:line="58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四川省教育厅、四川省人力资源和社会保障厅、四川省财政厅川教函[2019]572号文《四川省教育厅 四川省人力资源和社会保障厅 四川省财政厅关于同意2019年第二批全省中等职业学校基本办学条件标准化建设项目及首批1+X证书制度试点项目实施是通知》下达我院现代职业教育质量提升计划300万元（教学基础设施改造项目——雨污管网改造项目）。</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 w:hAnsi="仿宋" w:eastAsia="仿宋"/>
          <w:sz w:val="32"/>
          <w:szCs w:val="32"/>
          <w:lang w:val="zh-CN"/>
        </w:rPr>
        <w:t>根据环保要求改变学院现在雨污混流的状况</w:t>
      </w:r>
      <w:r>
        <w:rPr>
          <w:rFonts w:hint="eastAsia" w:ascii="楷体_GB2312" w:hAnsi="宋体" w:eastAsia="楷体_GB2312"/>
          <w:sz w:val="32"/>
          <w:szCs w:val="32"/>
          <w:lang w:val="zh-CN"/>
        </w:rPr>
        <w:t>,</w:t>
      </w:r>
      <w:r>
        <w:rPr>
          <w:rFonts w:hint="eastAsia" w:ascii="仿宋_GB2312" w:hAnsi="宋体" w:eastAsia="仿宋_GB2312"/>
          <w:sz w:val="32"/>
          <w:szCs w:val="32"/>
          <w:lang w:val="zh-CN"/>
        </w:rPr>
        <w:t>改造学院教学区雨污分流管网,完成雨污管网分流铺设。</w:t>
      </w:r>
    </w:p>
    <w:p>
      <w:pPr>
        <w:adjustRightInd w:val="0"/>
        <w:snapToGrid w:val="0"/>
        <w:spacing w:line="580" w:lineRule="exact"/>
        <w:ind w:firstLine="720"/>
        <w:rPr>
          <w:rFonts w:ascii="仿宋" w:hAnsi="仿宋" w:eastAsia="仿宋"/>
          <w:sz w:val="32"/>
          <w:szCs w:val="32"/>
          <w:lang w:val="zh-CN"/>
        </w:rPr>
      </w:pPr>
      <w:r>
        <w:rPr>
          <w:rFonts w:hint="eastAsia" w:ascii="楷体_GB2312" w:hAnsi="宋体" w:eastAsia="楷体_GB2312"/>
          <w:b/>
          <w:sz w:val="32"/>
          <w:szCs w:val="32"/>
          <w:lang w:val="zh-CN"/>
        </w:rPr>
        <w:t>（三）项目资金申报相符性。</w:t>
      </w:r>
      <w:r>
        <w:rPr>
          <w:rFonts w:hint="eastAsia" w:ascii="仿宋" w:hAnsi="仿宋" w:eastAsia="仿宋"/>
          <w:sz w:val="32"/>
          <w:szCs w:val="32"/>
          <w:lang w:val="zh-CN"/>
        </w:rPr>
        <w:t>工程招标控制价由四川城建工程咨询有限责任公司编制,控制价298.5万元,与申报金额完全相符。</w:t>
      </w:r>
    </w:p>
    <w:p>
      <w:p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58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sz w:val="32"/>
          <w:szCs w:val="32"/>
          <w:lang w:val="zh-CN"/>
        </w:rPr>
        <w:t>四川省教育厅、四川省人力资源和社会保障厅、四川省财政厅川教函[2019]572号文《四川省教育厅 四川省人力资源和社会保障厅 四川省财政厅关于同意2019年第二批全省中等职业学校基本办学条件标准化建设项目及首批1+X证书制度试点项目实施通知》下达我院现代职业教育质量提升计划300万元（基础设施改造-雨污分流项目）。2019年12月收到财政拨款300万元。由于政府采购的前期工作没完成，资金结转到2020年，资金到位及时，资金到位率100%。</w:t>
      </w:r>
    </w:p>
    <w:p>
      <w:pPr>
        <w:adjustRightInd w:val="0"/>
        <w:snapToGrid w:val="0"/>
        <w:spacing w:line="580" w:lineRule="exact"/>
        <w:ind w:firstLine="720"/>
        <w:rPr>
          <w:rFonts w:ascii="仿宋" w:hAnsi="仿宋" w:eastAsia="仿宋"/>
          <w:sz w:val="32"/>
          <w:szCs w:val="32"/>
          <w:lang w:val="zh-CN"/>
        </w:rPr>
      </w:pPr>
      <w:r>
        <w:rPr>
          <w:rFonts w:hint="eastAsia" w:ascii="楷体_GB2312" w:hAnsi="宋体" w:eastAsia="楷体_GB2312"/>
          <w:sz w:val="32"/>
          <w:szCs w:val="32"/>
          <w:lang w:val="zh-CN"/>
        </w:rPr>
        <w:t>2．资金使用。</w:t>
      </w:r>
      <w:r>
        <w:rPr>
          <w:rFonts w:hint="eastAsia" w:ascii="仿宋" w:hAnsi="仿宋" w:eastAsia="仿宋"/>
          <w:sz w:val="32"/>
          <w:szCs w:val="32"/>
          <w:lang w:val="zh-CN"/>
        </w:rPr>
        <w:t>通过政府采购施工单位中标价255万元，工程完工后实际支付工程价款255万元，剩余45万元财政收回。</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内控制度建设中本单位制定了《内部控制手册》，对项目财务管理做出了明确的规定，并随业务开展不断完善内控制度建设。本单位设置财务中心办理会计业务。执行《政府会计制度》，按项目设置明细分类账核算项目资金收支。项目严格执行财务管理制度、财务处理当天入账、会计核算规范。接受主管局每年一度的财务收支审计。</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于2019年12月18日与社会中介机构四川中字招标代理有限公司签订《委托代理协议书》，2020年6月11日完成政府采购备案工作，2020年6月16日在四川政府采购网发布《四川矿产机电技师学院2020年度政府采购意向公开公告》，2020年7月21日在四川政府采购网上发布《四川矿产机电技师学院基础设施改造项目资格预审公告》，报名参加资格预审的单位107家,提交资格预审申请文件的单位87家,通过资格审查的单位70家,在通过预审的单位中随机抽取10家进入磋商环节,2020年8月19日在四川中字招标代理有限公司进行了磋商，确定四川聚胜华建设工程有限公司中标，中标价255万元。2020年8月20日在四川政府采购网发布《四川矿产机电技师学院基础设施改造项目结果公告》。2020年9月4日四川聚胜华建设工程有限公司与本单位签订《四川矿产机电技师学院教学基础设施改造项目合同》，合同价款255万元。项目于2020年9月8日项目开工，2020年12月18日竣工验收合格。</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本项目由学院后勤服务处负责现场管理、学院监察和审计部门负责监督，聘请四川精正建设管理咨询有限公司监理监督施工质量，</w:t>
      </w:r>
      <w:r>
        <w:rPr>
          <w:rFonts w:hint="eastAsia" w:ascii="仿宋" w:hAnsi="仿宋" w:eastAsia="仿宋"/>
          <w:sz w:val="32"/>
          <w:szCs w:val="32"/>
          <w:lang w:val="zh-CN"/>
        </w:rPr>
        <w:t>聘请四川城建工程咨询有限责任公司负责控制工程造价</w:t>
      </w:r>
      <w:r>
        <w:rPr>
          <w:rFonts w:hint="eastAsia" w:ascii="仿宋_GB2312" w:hAnsi="宋体" w:eastAsia="仿宋_GB2312"/>
          <w:sz w:val="32"/>
          <w:szCs w:val="32"/>
          <w:lang w:val="zh-CN"/>
        </w:rPr>
        <w:t>。</w:t>
      </w:r>
    </w:p>
    <w:p>
      <w:pPr>
        <w:adjustRightInd w:val="0"/>
        <w:snapToGrid w:val="0"/>
        <w:spacing w:line="58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8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本项目实施完成，改造了学院教学区雨污分流管网,完成了雨污管网分流铺设，学院的排污达到了环保要求。</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 w:hAnsi="仿宋" w:eastAsia="仿宋"/>
          <w:sz w:val="32"/>
          <w:szCs w:val="32"/>
          <w:lang w:val="zh-CN"/>
        </w:rPr>
        <w:t>本项目的实施完成解决了长期存在的雨污混流的问题，本学院的排污达到了环保的要求</w:t>
      </w:r>
      <w:r>
        <w:rPr>
          <w:rFonts w:hint="eastAsia" w:ascii="仿宋_GB2312" w:hAnsi="宋体" w:eastAsia="仿宋_GB2312"/>
          <w:sz w:val="32"/>
          <w:szCs w:val="32"/>
          <w:lang w:val="zh-CN"/>
        </w:rPr>
        <w:t>。教职工满意度100%，学生满意度100%，学生家长满意度100%，社会满意度100%。</w:t>
      </w:r>
    </w:p>
    <w:p>
      <w:p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ascii="楷体_GB2312" w:hAnsi="宋体" w:eastAsia="楷体_GB2312"/>
          <w:b/>
          <w:sz w:val="32"/>
          <w:szCs w:val="32"/>
          <w:lang w:val="zh-CN"/>
        </w:rPr>
        <w:t>无</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（二）相关建议：无</w:t>
      </w:r>
    </w:p>
    <w:p>
      <w:pPr>
        <w:pStyle w:val="2"/>
        <w:spacing w:before="93"/>
        <w:rPr>
          <w:lang w:val="zh-CN"/>
        </w:rPr>
        <w:sectPr>
          <w:pgSz w:w="11906" w:h="16838"/>
          <w:pgMar w:top="1440" w:right="1800" w:bottom="1440" w:left="1800" w:header="851" w:footer="992" w:gutter="0"/>
          <w:cols w:space="425" w:num="1"/>
          <w:docGrid w:type="lines" w:linePitch="312" w:charSpace="0"/>
        </w:sect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w:t>
      </w:r>
      <w:r>
        <w:rPr>
          <w:rFonts w:hint="eastAsia" w:ascii="方正小标宋简体" w:hAnsi="宋体" w:eastAsia="方正小标宋简体"/>
          <w:kern w:val="0"/>
          <w:sz w:val="44"/>
          <w:szCs w:val="44"/>
        </w:rPr>
        <w:t>0</w:t>
      </w:r>
      <w:r>
        <w:rPr>
          <w:rFonts w:hint="eastAsia" w:ascii="方正小标宋简体" w:hAnsi="宋体" w:eastAsia="方正小标宋简体"/>
          <w:kern w:val="0"/>
          <w:sz w:val="44"/>
          <w:szCs w:val="44"/>
          <w:lang w:val="zh-CN"/>
        </w:rPr>
        <w:t>年四川矿产机电技师学院</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项目支出绩效自评报告</w:t>
      </w:r>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（2020年第一批学生支助中职教育中央补助资金项目）</w:t>
      </w:r>
    </w:p>
    <w:p>
      <w:pPr>
        <w:adjustRightInd w:val="0"/>
        <w:snapToGrid w:val="0"/>
        <w:spacing w:line="58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四川省财政厅、四川省教育厅川财教[2020]230号文下达我院2020年第一批学生支助中职教育中央补助资金541.3万元，其中：免学费补助475万元、助学金64.1万元、国家奖学金2.2万元。</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保障3435名在校免学费中职学生的正常教学，给479名家庭困难学生发放助学金。</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楷体_GB2312" w:hAnsi="宋体" w:eastAsia="楷体_GB2312"/>
          <w:sz w:val="32"/>
          <w:szCs w:val="32"/>
          <w:lang w:val="zh-CN"/>
        </w:rPr>
        <w:t>中职学生人数</w:t>
      </w:r>
      <w:r>
        <w:rPr>
          <w:rFonts w:hint="eastAsia" w:ascii="仿宋_GB2312" w:hAnsi="宋体" w:eastAsia="仿宋_GB2312"/>
          <w:sz w:val="32"/>
          <w:szCs w:val="32"/>
          <w:lang w:val="zh-CN"/>
        </w:rPr>
        <w:t>由“全国技工院校信息管理系统”确定，应享受助学金的学生人数按照规定比例在中职学生中确定。项目资金申报的相符性100%。</w:t>
      </w:r>
    </w:p>
    <w:p>
      <w:p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58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sz w:val="32"/>
          <w:szCs w:val="32"/>
          <w:lang w:val="zh-CN"/>
        </w:rPr>
        <w:t>四川省财政厅、四川省教育厅川财教[2020]23号文《财政厅 教育厅 人力资源和社会保障厅关于中职教育免学费和助学金省级补助资金2019年结算及2020年预拨的通知》下达我院免学费补助405.43万元，助学金31.34万元，合计436.77万元。2020年3月项目资金541.3万元，资金到位及时到位，资金到位率100%。</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2．资金使用。</w:t>
      </w:r>
      <w:r>
        <w:rPr>
          <w:rFonts w:hint="eastAsia" w:ascii="仿宋_GB2312" w:hAnsi="宋体" w:eastAsia="仿宋_GB2312"/>
          <w:sz w:val="32"/>
          <w:szCs w:val="32"/>
          <w:lang w:val="zh-CN"/>
        </w:rPr>
        <w:t>根据川财教[2012]298号文《省财政厅 省发改委 省教育厅 省人社厅关于全面实行中等职业教育免费政策进一步完善国家助学金制度的通知》规定“对省属中职学校，省财政厅根据学费标准分别核定各校补助定额，按符合免学费政策的实际人数计算补助，包干使用”，收到的免学费补助475万元用于学院正常的教学和工作支出。收到的助学金64.1万元全部发给应享受助学金的学生。收到的国家奖学金2.2万元全部发放给优秀中职学生。</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内控制度建设中本单位制定了《内部控制手册》，对项目财务管理做出了明确的规定，并随业务开展不断完善内控制度建设。本单位设置财务中心办理会计业务。执行《政府会计制度》，按项目设置明细分类账核算项目资金收支。项目严格执行财务管理制度、财务处理当天入账、会计核算规。接受主管局每年一度的财务收支审计。</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免学费补助用于学院的教学和工作支出,助学金和国家奖学金通过银行代发系统发给应享受助学金的学生。</w:t>
      </w:r>
    </w:p>
    <w:p>
      <w:pPr>
        <w:adjustRightInd w:val="0"/>
        <w:snapToGrid w:val="0"/>
        <w:spacing w:line="58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8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免学费补助用于学院的教学等日常支出，保障了在校3435名中职学生免交学费后的正常教学；助学金发放给479名家庭困难学生，帮助他们完成学业；发放国家奖学金激发了中职学生的学习兴趣，提高了教学质量和学生管理质量。</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 w:hAnsi="仿宋" w:eastAsia="仿宋"/>
          <w:sz w:val="32"/>
          <w:szCs w:val="32"/>
          <w:lang w:val="zh-CN"/>
        </w:rPr>
        <w:t>免学费补助政策的实施，进一步促进了中等职业教育加快发展和科学发展，更好地满足了培养建设西部经济发展高地技能型实用人才需要</w:t>
      </w:r>
      <w:r>
        <w:rPr>
          <w:rFonts w:hint="eastAsia" w:ascii="仿宋_GB2312" w:hAnsi="宋体" w:eastAsia="仿宋_GB2312"/>
          <w:sz w:val="32"/>
          <w:szCs w:val="32"/>
          <w:lang w:val="zh-CN"/>
        </w:rPr>
        <w:t>。助学金政策的实施保障了家庭困难学生能够完成中职学业。发放国家奖学金激发了中职学生的学习兴趣，提高了教学质量和学生管理质量。学生满意度100%，学生家长满意度100%，社会满意度100%。</w:t>
      </w:r>
    </w:p>
    <w:p>
      <w:p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ascii="楷体_GB2312" w:hAnsi="宋体" w:eastAsia="楷体_GB2312"/>
          <w:b/>
          <w:sz w:val="32"/>
          <w:szCs w:val="32"/>
          <w:lang w:val="zh-CN"/>
        </w:rPr>
        <w:t>无</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（二）相关建议：无</w:t>
      </w:r>
    </w:p>
    <w:p>
      <w:pPr>
        <w:adjustRightInd w:val="0"/>
        <w:snapToGrid w:val="0"/>
        <w:spacing w:line="580" w:lineRule="exact"/>
        <w:rPr>
          <w:rFonts w:ascii="黑体" w:hAnsi="宋体" w:eastAsia="黑体"/>
          <w:sz w:val="32"/>
          <w:szCs w:val="32"/>
        </w:rPr>
        <w:sectPr>
          <w:pgSz w:w="11906" w:h="16838"/>
          <w:pgMar w:top="1440" w:right="1800" w:bottom="1440" w:left="1800" w:header="851" w:footer="992" w:gutter="0"/>
          <w:cols w:space="425" w:num="1"/>
          <w:docGrid w:type="lines" w:linePitch="312" w:charSpace="0"/>
        </w:sect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w:t>
      </w:r>
      <w:r>
        <w:rPr>
          <w:rFonts w:hint="eastAsia" w:ascii="方正小标宋简体" w:hAnsi="宋体" w:eastAsia="方正小标宋简体"/>
          <w:kern w:val="0"/>
          <w:sz w:val="44"/>
          <w:szCs w:val="44"/>
        </w:rPr>
        <w:t>0</w:t>
      </w:r>
      <w:r>
        <w:rPr>
          <w:rFonts w:hint="eastAsia" w:ascii="方正小标宋简体" w:hAnsi="宋体" w:eastAsia="方正小标宋简体"/>
          <w:kern w:val="0"/>
          <w:sz w:val="44"/>
          <w:szCs w:val="44"/>
          <w:lang w:val="zh-CN"/>
        </w:rPr>
        <w:t>年四川矿产机电技师学院</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项目支出绩效自评报告</w:t>
      </w:r>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（中职教育免学费和助学金省级补助资金项目）</w:t>
      </w:r>
    </w:p>
    <w:p>
      <w:pPr>
        <w:adjustRightInd w:val="0"/>
        <w:snapToGrid w:val="0"/>
        <w:spacing w:line="58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四川省财政厅、四川省教育厅川财教[2020]29号文《财政厅 教育厅 人力资源和社会保障厅关于中职教育免学费和助学金省级补助资金2019年结算及2020年预拨的通知》下达我院免学费补助405.43万元，助学金31.34万元，合计436.77万元。</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保障3435名在校免学费中职学生的正常教学，给479名家庭困难学生发放助学金。</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楷体_GB2312" w:hAnsi="宋体" w:eastAsia="楷体_GB2312"/>
          <w:sz w:val="32"/>
          <w:szCs w:val="32"/>
          <w:lang w:val="zh-CN"/>
        </w:rPr>
        <w:t>中职学生人数</w:t>
      </w:r>
      <w:r>
        <w:rPr>
          <w:rFonts w:hint="eastAsia" w:ascii="仿宋_GB2312" w:hAnsi="宋体" w:eastAsia="仿宋_GB2312"/>
          <w:sz w:val="32"/>
          <w:szCs w:val="32"/>
          <w:lang w:val="zh-CN"/>
        </w:rPr>
        <w:t>由“全国技工院校信息管理系统”确定，应享受助学金的学生人数按照规定比例在中职学生中确定。项目资金申报的相符性100%。</w:t>
      </w:r>
    </w:p>
    <w:p>
      <w:p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58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sz w:val="32"/>
          <w:szCs w:val="32"/>
          <w:lang w:val="zh-CN"/>
        </w:rPr>
        <w:t>四川省财政厅、四川省教育厅川财教[2020]29号文《财政厅 教育厅 人力资源和社会保障厅关于中职教育免学费和助学金省级补助资金2019年结算及2020年预拨的通知》下达我院免学费补助405.43万元，助学金31.34万元，合计436.77万元。2020年7月项目资金436.77万元，资金到位及时到位，资金到位率100%。</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2．资金使用。</w:t>
      </w:r>
      <w:r>
        <w:rPr>
          <w:rFonts w:hint="eastAsia" w:ascii="仿宋_GB2312" w:hAnsi="宋体" w:eastAsia="仿宋_GB2312"/>
          <w:sz w:val="32"/>
          <w:szCs w:val="32"/>
          <w:lang w:val="zh-CN"/>
        </w:rPr>
        <w:t>根据川财教[2012]298号文《省财政厅 省发改委 省教育厅 省人社厅关于全面实行中等职业教育免费政策进一步完善国家助学金制度的通知》规定“对省属中职学校，省财政厅根据学费标准分别核定各校补助定额，按符合免学费政策的实际人数计算补助，包干使用”，收到的免学费补助405.43万元用于学院正常的教学和工作支出。收到的助学金31.34万元全部发给应享受助学金的学生。</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内控制度建设中本单位制定了《内部控制手册》，对项目财务管理做出了明确的规定，并随业务开展不断完善内控制度建设。本单位设置财务中心办理会计业务。执行《政府会计制度》，按项目设置明细分类账核算项目资金收支。项目严格执行财务管理制度、财务处理当天入账、会计核算规。接受主管局每年一度的财务收支审计。</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58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免学费补助用于学院的教学和工作支出,助学金通过银行代发系统发给应享受助学金的学生。</w:t>
      </w:r>
    </w:p>
    <w:p>
      <w:pPr>
        <w:adjustRightInd w:val="0"/>
        <w:snapToGrid w:val="0"/>
        <w:spacing w:line="58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8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免学费补助用于学院的教学等日常支出，保障了在校3435名中职学生免交学费后的正常教学，助学金发放给479名家庭困难学生，帮助他们完成学业。</w:t>
      </w:r>
    </w:p>
    <w:p>
      <w:pPr>
        <w:adjustRightInd w:val="0"/>
        <w:snapToGrid w:val="0"/>
        <w:spacing w:line="58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 w:hAnsi="仿宋" w:eastAsia="仿宋"/>
          <w:sz w:val="32"/>
          <w:szCs w:val="32"/>
          <w:lang w:val="zh-CN"/>
        </w:rPr>
        <w:t>免学费补助政策的实施，进一步促进了中等职业教育加快发展和科学发展，更好地满足了培养建设西部经济发展高地技能型实用人才需要</w:t>
      </w:r>
      <w:r>
        <w:rPr>
          <w:rFonts w:hint="eastAsia" w:ascii="仿宋_GB2312" w:hAnsi="宋体" w:eastAsia="仿宋_GB2312"/>
          <w:sz w:val="32"/>
          <w:szCs w:val="32"/>
          <w:lang w:val="zh-CN"/>
        </w:rPr>
        <w:t>。助学金政策的实施保障了家庭困难学生能够完成中职学业。学生满意度100%，学生家长满意度100%，社会满意度100%。</w:t>
      </w:r>
    </w:p>
    <w:p>
      <w:p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ascii="楷体_GB2312" w:hAnsi="宋体" w:eastAsia="楷体_GB2312"/>
          <w:b/>
          <w:sz w:val="32"/>
          <w:szCs w:val="32"/>
          <w:lang w:val="zh-CN"/>
        </w:rPr>
        <w:t>无</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（二）相关建议：无</w:t>
      </w:r>
    </w:p>
    <w:p>
      <w:pPr>
        <w:pStyle w:val="2"/>
        <w:spacing w:before="93"/>
        <w:rPr>
          <w:lang w:val="zh-CN"/>
        </w:rPr>
      </w:pPr>
    </w:p>
    <w:p>
      <w:pPr>
        <w:pStyle w:val="2"/>
        <w:spacing w:before="93"/>
        <w:rPr>
          <w:lang w:val="zh-CN"/>
        </w:rPr>
        <w:sectPr>
          <w:pgSz w:w="11906" w:h="16838"/>
          <w:pgMar w:top="1440" w:right="1800" w:bottom="1440" w:left="1800" w:header="851" w:footer="992" w:gutter="0"/>
          <w:cols w:space="425" w:num="1"/>
          <w:docGrid w:type="lines" w:linePitch="312" w:charSpace="0"/>
        </w:sectPr>
      </w:pPr>
    </w:p>
    <w:p>
      <w:pPr>
        <w:spacing w:line="600" w:lineRule="exact"/>
        <w:jc w:val="center"/>
        <w:outlineLvl w:val="0"/>
        <w:rPr>
          <w:rFonts w:ascii="仿宋" w:hAnsi="仿宋" w:eastAsia="仿宋"/>
          <w:color w:val="000000"/>
        </w:rPr>
      </w:pPr>
      <w:bookmarkStart w:id="91" w:name="_Toc15396618"/>
      <w:bookmarkStart w:id="92" w:name="_Toc119056983"/>
      <w:r>
        <w:rPr>
          <w:rFonts w:hint="eastAsia" w:ascii="黑体" w:hAnsi="黑体" w:eastAsia="黑体"/>
          <w:color w:val="000000"/>
          <w:sz w:val="44"/>
          <w:szCs w:val="44"/>
        </w:rPr>
        <w:t>第</w:t>
      </w:r>
      <w:r>
        <w:rPr>
          <w:rStyle w:val="28"/>
          <w:rFonts w:hint="eastAsia" w:ascii="黑体" w:hAnsi="黑体" w:eastAsia="黑体"/>
          <w:b w:val="0"/>
        </w:rPr>
        <w:t>五部分 附表</w:t>
      </w:r>
      <w:bookmarkEnd w:id="88"/>
      <w:bookmarkEnd w:id="91"/>
      <w:bookmarkEnd w:id="92"/>
      <w:bookmarkStart w:id="93" w:name="_Toc15396619"/>
    </w:p>
    <w:p>
      <w:pPr>
        <w:pStyle w:val="4"/>
        <w:rPr>
          <w:rFonts w:ascii="仿宋" w:hAnsi="仿宋" w:eastAsia="仿宋"/>
          <w:color w:val="000000"/>
        </w:rPr>
      </w:pPr>
      <w:bookmarkStart w:id="94" w:name="_Toc119056984"/>
      <w:r>
        <w:rPr>
          <w:rFonts w:hint="eastAsia" w:ascii="仿宋" w:hAnsi="仿宋" w:eastAsia="仿宋"/>
          <w:b w:val="0"/>
          <w:color w:val="000000"/>
        </w:rPr>
        <w:t>一、收</w:t>
      </w:r>
      <w:r>
        <w:rPr>
          <w:rStyle w:val="29"/>
          <w:rFonts w:hint="eastAsia" w:ascii="仿宋" w:hAnsi="仿宋" w:eastAsia="仿宋"/>
          <w:b w:val="0"/>
          <w:bCs w:val="0"/>
        </w:rPr>
        <w:t>入支出决算总表</w:t>
      </w:r>
      <w:bookmarkEnd w:id="93"/>
      <w:bookmarkEnd w:id="94"/>
    </w:p>
    <w:p>
      <w:pPr>
        <w:pStyle w:val="4"/>
        <w:rPr>
          <w:rFonts w:ascii="仿宋" w:hAnsi="仿宋" w:eastAsia="仿宋"/>
          <w:color w:val="000000"/>
        </w:rPr>
      </w:pPr>
      <w:bookmarkStart w:id="95" w:name="_Toc15396620"/>
      <w:bookmarkStart w:id="96" w:name="_Toc119056985"/>
      <w:r>
        <w:rPr>
          <w:rFonts w:hint="eastAsia" w:ascii="仿宋" w:hAnsi="仿宋" w:eastAsia="仿宋"/>
          <w:b w:val="0"/>
          <w:color w:val="000000"/>
        </w:rPr>
        <w:t>二、收</w:t>
      </w:r>
      <w:r>
        <w:rPr>
          <w:rStyle w:val="29"/>
          <w:rFonts w:hint="eastAsia" w:ascii="仿宋" w:hAnsi="仿宋" w:eastAsia="仿宋"/>
          <w:b w:val="0"/>
          <w:bCs w:val="0"/>
        </w:rPr>
        <w:t>入决算表</w:t>
      </w:r>
      <w:bookmarkEnd w:id="95"/>
      <w:bookmarkEnd w:id="96"/>
    </w:p>
    <w:p>
      <w:pPr>
        <w:pStyle w:val="4"/>
        <w:rPr>
          <w:rFonts w:ascii="仿宋" w:hAnsi="仿宋" w:eastAsia="仿宋"/>
          <w:color w:val="000000"/>
        </w:rPr>
      </w:pPr>
      <w:bookmarkStart w:id="97" w:name="_Toc15396621"/>
      <w:bookmarkStart w:id="98" w:name="_Toc119056986"/>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97"/>
      <w:bookmarkEnd w:id="98"/>
    </w:p>
    <w:p>
      <w:pPr>
        <w:pStyle w:val="4"/>
        <w:rPr>
          <w:rFonts w:ascii="仿宋" w:hAnsi="仿宋" w:eastAsia="仿宋"/>
          <w:b w:val="0"/>
          <w:color w:val="000000"/>
        </w:rPr>
      </w:pPr>
      <w:bookmarkStart w:id="99" w:name="_Toc15396622"/>
      <w:bookmarkStart w:id="100" w:name="_Toc119056987"/>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99"/>
      <w:bookmarkEnd w:id="100"/>
    </w:p>
    <w:p>
      <w:pPr>
        <w:pStyle w:val="4"/>
        <w:rPr>
          <w:rStyle w:val="29"/>
          <w:rFonts w:ascii="仿宋" w:hAnsi="仿宋" w:eastAsia="仿宋"/>
          <w:b w:val="0"/>
          <w:bCs w:val="0"/>
        </w:rPr>
      </w:pPr>
      <w:bookmarkStart w:id="101" w:name="_Toc119056988"/>
      <w:bookmarkStart w:id="102"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01"/>
      <w:bookmarkEnd w:id="102"/>
      <w:bookmarkStart w:id="103" w:name="_Toc15396624"/>
    </w:p>
    <w:p>
      <w:pPr>
        <w:pStyle w:val="4"/>
        <w:rPr>
          <w:rFonts w:ascii="仿宋" w:hAnsi="仿宋" w:eastAsia="仿宋"/>
          <w:color w:val="000000"/>
        </w:rPr>
      </w:pPr>
      <w:bookmarkStart w:id="104" w:name="_Toc119056989"/>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03"/>
      <w:bookmarkEnd w:id="104"/>
    </w:p>
    <w:p>
      <w:pPr>
        <w:pStyle w:val="4"/>
        <w:rPr>
          <w:rFonts w:ascii="仿宋" w:hAnsi="仿宋" w:eastAsia="仿宋"/>
          <w:color w:val="000000"/>
        </w:rPr>
      </w:pPr>
      <w:bookmarkStart w:id="105" w:name="_Toc15396625"/>
      <w:bookmarkStart w:id="106" w:name="_Toc119056990"/>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05"/>
      <w:bookmarkEnd w:id="106"/>
    </w:p>
    <w:p>
      <w:pPr>
        <w:pStyle w:val="4"/>
        <w:rPr>
          <w:rFonts w:ascii="仿宋" w:hAnsi="仿宋" w:eastAsia="仿宋"/>
          <w:color w:val="000000"/>
        </w:rPr>
      </w:pPr>
      <w:bookmarkStart w:id="107" w:name="_Toc15396626"/>
      <w:bookmarkStart w:id="108" w:name="_Toc119056991"/>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07"/>
      <w:bookmarkEnd w:id="108"/>
    </w:p>
    <w:p>
      <w:pPr>
        <w:pStyle w:val="4"/>
        <w:rPr>
          <w:rFonts w:ascii="仿宋" w:hAnsi="仿宋" w:eastAsia="仿宋"/>
          <w:color w:val="000000"/>
        </w:rPr>
      </w:pPr>
      <w:bookmarkStart w:id="109" w:name="_Toc15396627"/>
      <w:bookmarkStart w:id="110" w:name="_Toc119056992"/>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09"/>
      <w:bookmarkEnd w:id="110"/>
    </w:p>
    <w:p>
      <w:pPr>
        <w:pStyle w:val="4"/>
        <w:rPr>
          <w:rFonts w:ascii="仿宋" w:hAnsi="仿宋" w:eastAsia="仿宋"/>
          <w:color w:val="000000"/>
        </w:rPr>
      </w:pPr>
      <w:bookmarkStart w:id="111" w:name="_Toc119056993"/>
      <w:bookmarkStart w:id="112"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111"/>
      <w:bookmarkEnd w:id="112"/>
    </w:p>
    <w:p>
      <w:pPr>
        <w:pStyle w:val="4"/>
        <w:rPr>
          <w:rFonts w:ascii="仿宋" w:hAnsi="仿宋" w:eastAsia="仿宋"/>
          <w:color w:val="000000"/>
        </w:rPr>
      </w:pPr>
      <w:bookmarkStart w:id="113" w:name="_Toc15396629"/>
      <w:bookmarkStart w:id="114" w:name="_Toc119056994"/>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13"/>
      <w:bookmarkEnd w:id="114"/>
    </w:p>
    <w:p>
      <w:pPr>
        <w:pStyle w:val="4"/>
        <w:rPr>
          <w:rFonts w:ascii="仿宋" w:hAnsi="仿宋" w:eastAsia="仿宋"/>
          <w:color w:val="000000"/>
        </w:rPr>
      </w:pPr>
      <w:bookmarkStart w:id="115" w:name="_Toc119056995"/>
      <w:bookmarkStart w:id="116"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115"/>
      <w:bookmarkEnd w:id="116"/>
    </w:p>
    <w:p>
      <w:pPr>
        <w:pStyle w:val="4"/>
        <w:rPr>
          <w:rStyle w:val="29"/>
          <w:rFonts w:ascii="仿宋" w:hAnsi="仿宋" w:eastAsia="仿宋"/>
          <w:b w:val="0"/>
          <w:bCs w:val="0"/>
        </w:rPr>
      </w:pPr>
      <w:bookmarkStart w:id="117" w:name="_Toc119056996"/>
      <w:bookmarkStart w:id="118"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有资本经营预算财政拨款收入支出决算表</w:t>
      </w:r>
      <w:bookmarkEnd w:id="117"/>
      <w:bookmarkEnd w:id="118"/>
    </w:p>
    <w:p>
      <w:pPr>
        <w:rPr>
          <w:rFonts w:eastAsia="仿宋"/>
        </w:rPr>
      </w:pPr>
      <w:bookmarkStart w:id="119" w:name="_Toc119056997"/>
      <w:r>
        <w:rPr>
          <w:rStyle w:val="29"/>
          <w:rFonts w:hint="eastAsia" w:ascii="仿宋" w:hAnsi="仿宋" w:eastAsia="仿宋"/>
          <w:b w:val="0"/>
          <w:bCs w:val="0"/>
        </w:rPr>
        <w:t>十四、国有资本经营预算财政拨款支出决算表</w:t>
      </w:r>
      <w:bookmarkEnd w:id="1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979951"/>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797F"/>
    <w:multiLevelType w:val="singleLevel"/>
    <w:tmpl w:val="C64D797F"/>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hYmUzMzI3YTE4MzU3ZDE2NDJhNTdlN2E3NWNhODgifQ=="/>
  </w:docVars>
  <w:rsids>
    <w:rsidRoot w:val="00F1361C"/>
    <w:rsid w:val="00000D23"/>
    <w:rsid w:val="000222C6"/>
    <w:rsid w:val="0002549F"/>
    <w:rsid w:val="000468DB"/>
    <w:rsid w:val="0006487A"/>
    <w:rsid w:val="00065F8F"/>
    <w:rsid w:val="00070A43"/>
    <w:rsid w:val="00073DD9"/>
    <w:rsid w:val="000768F2"/>
    <w:rsid w:val="0008415D"/>
    <w:rsid w:val="0009184B"/>
    <w:rsid w:val="00094236"/>
    <w:rsid w:val="0009593C"/>
    <w:rsid w:val="00097322"/>
    <w:rsid w:val="000A6A92"/>
    <w:rsid w:val="000B047F"/>
    <w:rsid w:val="000B5923"/>
    <w:rsid w:val="000B5A48"/>
    <w:rsid w:val="000B6FF3"/>
    <w:rsid w:val="000B7BD4"/>
    <w:rsid w:val="000C3467"/>
    <w:rsid w:val="000C3CA6"/>
    <w:rsid w:val="000D1267"/>
    <w:rsid w:val="000D1D50"/>
    <w:rsid w:val="000D5782"/>
    <w:rsid w:val="000E6613"/>
    <w:rsid w:val="000E7119"/>
    <w:rsid w:val="000E779F"/>
    <w:rsid w:val="00106C7F"/>
    <w:rsid w:val="00114E9B"/>
    <w:rsid w:val="00133EF1"/>
    <w:rsid w:val="00142216"/>
    <w:rsid w:val="00144D6A"/>
    <w:rsid w:val="0014729F"/>
    <w:rsid w:val="00157BAB"/>
    <w:rsid w:val="001654D1"/>
    <w:rsid w:val="00174518"/>
    <w:rsid w:val="0018106D"/>
    <w:rsid w:val="001877A7"/>
    <w:rsid w:val="00191536"/>
    <w:rsid w:val="00196687"/>
    <w:rsid w:val="001C0962"/>
    <w:rsid w:val="001D7531"/>
    <w:rsid w:val="001E03BF"/>
    <w:rsid w:val="001E438B"/>
    <w:rsid w:val="001E737D"/>
    <w:rsid w:val="001F0592"/>
    <w:rsid w:val="001F7506"/>
    <w:rsid w:val="001F76E2"/>
    <w:rsid w:val="002006CD"/>
    <w:rsid w:val="00202B36"/>
    <w:rsid w:val="00204B7A"/>
    <w:rsid w:val="00204CDE"/>
    <w:rsid w:val="0020577D"/>
    <w:rsid w:val="0021101A"/>
    <w:rsid w:val="00220536"/>
    <w:rsid w:val="00235629"/>
    <w:rsid w:val="00246E45"/>
    <w:rsid w:val="00260C38"/>
    <w:rsid w:val="002616C0"/>
    <w:rsid w:val="00265372"/>
    <w:rsid w:val="002662AA"/>
    <w:rsid w:val="00280496"/>
    <w:rsid w:val="00282B9D"/>
    <w:rsid w:val="00294DC9"/>
    <w:rsid w:val="00295495"/>
    <w:rsid w:val="0029550F"/>
    <w:rsid w:val="002A268F"/>
    <w:rsid w:val="002A31DE"/>
    <w:rsid w:val="002B2613"/>
    <w:rsid w:val="002C0086"/>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E49"/>
    <w:rsid w:val="00411446"/>
    <w:rsid w:val="004223DE"/>
    <w:rsid w:val="00434489"/>
    <w:rsid w:val="00437085"/>
    <w:rsid w:val="00443880"/>
    <w:rsid w:val="004464F4"/>
    <w:rsid w:val="00471401"/>
    <w:rsid w:val="00473F31"/>
    <w:rsid w:val="0048263A"/>
    <w:rsid w:val="00487E5D"/>
    <w:rsid w:val="00492512"/>
    <w:rsid w:val="004A711F"/>
    <w:rsid w:val="004B199D"/>
    <w:rsid w:val="004B4690"/>
    <w:rsid w:val="004E0A2D"/>
    <w:rsid w:val="004E206B"/>
    <w:rsid w:val="004E6DF7"/>
    <w:rsid w:val="004F0FBD"/>
    <w:rsid w:val="00505A47"/>
    <w:rsid w:val="00512FDA"/>
    <w:rsid w:val="00520DA0"/>
    <w:rsid w:val="00563073"/>
    <w:rsid w:val="005664BB"/>
    <w:rsid w:val="00566FFA"/>
    <w:rsid w:val="0057481D"/>
    <w:rsid w:val="0058486E"/>
    <w:rsid w:val="00585B33"/>
    <w:rsid w:val="0059014D"/>
    <w:rsid w:val="005B2031"/>
    <w:rsid w:val="005B5C64"/>
    <w:rsid w:val="005C5337"/>
    <w:rsid w:val="005C6BD0"/>
    <w:rsid w:val="005D1C8B"/>
    <w:rsid w:val="005D468D"/>
    <w:rsid w:val="005D5CED"/>
    <w:rsid w:val="005E1EEC"/>
    <w:rsid w:val="005F1A4C"/>
    <w:rsid w:val="005F2B43"/>
    <w:rsid w:val="00603AC0"/>
    <w:rsid w:val="00605688"/>
    <w:rsid w:val="006070AF"/>
    <w:rsid w:val="00607E6C"/>
    <w:rsid w:val="006101B1"/>
    <w:rsid w:val="00614E44"/>
    <w:rsid w:val="0062270A"/>
    <w:rsid w:val="00622830"/>
    <w:rsid w:val="00623242"/>
    <w:rsid w:val="00623DA0"/>
    <w:rsid w:val="00630AEF"/>
    <w:rsid w:val="006325F8"/>
    <w:rsid w:val="00633463"/>
    <w:rsid w:val="00634B56"/>
    <w:rsid w:val="00634C9A"/>
    <w:rsid w:val="006440E4"/>
    <w:rsid w:val="0066343B"/>
    <w:rsid w:val="00664777"/>
    <w:rsid w:val="006748A4"/>
    <w:rsid w:val="00681A31"/>
    <w:rsid w:val="00683E73"/>
    <w:rsid w:val="006A3141"/>
    <w:rsid w:val="006A52A7"/>
    <w:rsid w:val="006A5E34"/>
    <w:rsid w:val="006B2422"/>
    <w:rsid w:val="006B2B9A"/>
    <w:rsid w:val="006C1937"/>
    <w:rsid w:val="006F020C"/>
    <w:rsid w:val="007127B7"/>
    <w:rsid w:val="0071798E"/>
    <w:rsid w:val="007416B6"/>
    <w:rsid w:val="00746F48"/>
    <w:rsid w:val="0075404D"/>
    <w:rsid w:val="0076182A"/>
    <w:rsid w:val="00766D92"/>
    <w:rsid w:val="00767B7E"/>
    <w:rsid w:val="007770C3"/>
    <w:rsid w:val="00784D24"/>
    <w:rsid w:val="00785FBA"/>
    <w:rsid w:val="00786A42"/>
    <w:rsid w:val="00786E4A"/>
    <w:rsid w:val="007875EB"/>
    <w:rsid w:val="00791E45"/>
    <w:rsid w:val="0079426B"/>
    <w:rsid w:val="007D1682"/>
    <w:rsid w:val="007D312A"/>
    <w:rsid w:val="007D3F19"/>
    <w:rsid w:val="007E23B0"/>
    <w:rsid w:val="007E23E5"/>
    <w:rsid w:val="007F1991"/>
    <w:rsid w:val="007F2C2F"/>
    <w:rsid w:val="007F2DB0"/>
    <w:rsid w:val="007F55FC"/>
    <w:rsid w:val="007F5665"/>
    <w:rsid w:val="00800112"/>
    <w:rsid w:val="00813348"/>
    <w:rsid w:val="00821599"/>
    <w:rsid w:val="008253BB"/>
    <w:rsid w:val="0083706E"/>
    <w:rsid w:val="008408F6"/>
    <w:rsid w:val="00840AD7"/>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0D7C"/>
    <w:rsid w:val="008E1DE7"/>
    <w:rsid w:val="008E707C"/>
    <w:rsid w:val="00900B08"/>
    <w:rsid w:val="00902155"/>
    <w:rsid w:val="00902FA3"/>
    <w:rsid w:val="00922DE5"/>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324A"/>
    <w:rsid w:val="009B2C43"/>
    <w:rsid w:val="009B4EAE"/>
    <w:rsid w:val="009B7573"/>
    <w:rsid w:val="009C22F4"/>
    <w:rsid w:val="009C2A4B"/>
    <w:rsid w:val="009C2E98"/>
    <w:rsid w:val="009D3447"/>
    <w:rsid w:val="009D4711"/>
    <w:rsid w:val="009F1185"/>
    <w:rsid w:val="009F18CD"/>
    <w:rsid w:val="009F2A13"/>
    <w:rsid w:val="009F7527"/>
    <w:rsid w:val="00A02227"/>
    <w:rsid w:val="00A04EB0"/>
    <w:rsid w:val="00A13CC1"/>
    <w:rsid w:val="00A16847"/>
    <w:rsid w:val="00A237D8"/>
    <w:rsid w:val="00A268C4"/>
    <w:rsid w:val="00A307CD"/>
    <w:rsid w:val="00A331C8"/>
    <w:rsid w:val="00A40A00"/>
    <w:rsid w:val="00A4142F"/>
    <w:rsid w:val="00A422EB"/>
    <w:rsid w:val="00A45BB7"/>
    <w:rsid w:val="00A45E65"/>
    <w:rsid w:val="00A56DF2"/>
    <w:rsid w:val="00A56E6E"/>
    <w:rsid w:val="00A67AB5"/>
    <w:rsid w:val="00A733B2"/>
    <w:rsid w:val="00A741C2"/>
    <w:rsid w:val="00A87D7B"/>
    <w:rsid w:val="00A91760"/>
    <w:rsid w:val="00A91ED3"/>
    <w:rsid w:val="00A93B00"/>
    <w:rsid w:val="00A93C21"/>
    <w:rsid w:val="00AB64C9"/>
    <w:rsid w:val="00AC3C6A"/>
    <w:rsid w:val="00AD16AD"/>
    <w:rsid w:val="00AD5620"/>
    <w:rsid w:val="00AD656B"/>
    <w:rsid w:val="00AD7C1B"/>
    <w:rsid w:val="00AE16BA"/>
    <w:rsid w:val="00AE1EBE"/>
    <w:rsid w:val="00AF23AB"/>
    <w:rsid w:val="00B03C9D"/>
    <w:rsid w:val="00B060AE"/>
    <w:rsid w:val="00B10517"/>
    <w:rsid w:val="00B14E76"/>
    <w:rsid w:val="00B16060"/>
    <w:rsid w:val="00B161B8"/>
    <w:rsid w:val="00B175CF"/>
    <w:rsid w:val="00B2048C"/>
    <w:rsid w:val="00B21847"/>
    <w:rsid w:val="00B310B9"/>
    <w:rsid w:val="00B35F3F"/>
    <w:rsid w:val="00B36CBB"/>
    <w:rsid w:val="00B425E0"/>
    <w:rsid w:val="00B440AA"/>
    <w:rsid w:val="00B44B70"/>
    <w:rsid w:val="00B512E0"/>
    <w:rsid w:val="00B53C56"/>
    <w:rsid w:val="00B57DAF"/>
    <w:rsid w:val="00B722B9"/>
    <w:rsid w:val="00B77EA6"/>
    <w:rsid w:val="00B81598"/>
    <w:rsid w:val="00B841F1"/>
    <w:rsid w:val="00B93343"/>
    <w:rsid w:val="00B944D6"/>
    <w:rsid w:val="00BA0392"/>
    <w:rsid w:val="00BB4DF0"/>
    <w:rsid w:val="00BC289F"/>
    <w:rsid w:val="00BC2D50"/>
    <w:rsid w:val="00BC5361"/>
    <w:rsid w:val="00BC5460"/>
    <w:rsid w:val="00BC6B50"/>
    <w:rsid w:val="00BD0E25"/>
    <w:rsid w:val="00BD33BD"/>
    <w:rsid w:val="00BF06AB"/>
    <w:rsid w:val="00BF5BD6"/>
    <w:rsid w:val="00C03E31"/>
    <w:rsid w:val="00C3128A"/>
    <w:rsid w:val="00C33E72"/>
    <w:rsid w:val="00C354B2"/>
    <w:rsid w:val="00C35554"/>
    <w:rsid w:val="00C35BCF"/>
    <w:rsid w:val="00C42709"/>
    <w:rsid w:val="00C533CC"/>
    <w:rsid w:val="00C5751C"/>
    <w:rsid w:val="00C61BFC"/>
    <w:rsid w:val="00C62B85"/>
    <w:rsid w:val="00C65438"/>
    <w:rsid w:val="00C656F5"/>
    <w:rsid w:val="00C76449"/>
    <w:rsid w:val="00C87FD8"/>
    <w:rsid w:val="00C91381"/>
    <w:rsid w:val="00C91CBB"/>
    <w:rsid w:val="00CB4E70"/>
    <w:rsid w:val="00CC09B6"/>
    <w:rsid w:val="00CC666F"/>
    <w:rsid w:val="00CD1E3F"/>
    <w:rsid w:val="00CD2E10"/>
    <w:rsid w:val="00CD44CC"/>
    <w:rsid w:val="00CD7FD4"/>
    <w:rsid w:val="00CE0E15"/>
    <w:rsid w:val="00CE44F6"/>
    <w:rsid w:val="00CE49DA"/>
    <w:rsid w:val="00CE7B61"/>
    <w:rsid w:val="00CE7B6F"/>
    <w:rsid w:val="00CF37C7"/>
    <w:rsid w:val="00D00095"/>
    <w:rsid w:val="00D114F0"/>
    <w:rsid w:val="00D20620"/>
    <w:rsid w:val="00D254F7"/>
    <w:rsid w:val="00D26091"/>
    <w:rsid w:val="00D2685C"/>
    <w:rsid w:val="00D34E7C"/>
    <w:rsid w:val="00D35489"/>
    <w:rsid w:val="00D36AFE"/>
    <w:rsid w:val="00D51276"/>
    <w:rsid w:val="00D609CA"/>
    <w:rsid w:val="00D6767D"/>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6CB3"/>
    <w:rsid w:val="00E472B1"/>
    <w:rsid w:val="00E50624"/>
    <w:rsid w:val="00E568DF"/>
    <w:rsid w:val="00E64269"/>
    <w:rsid w:val="00E73AF4"/>
    <w:rsid w:val="00E82267"/>
    <w:rsid w:val="00E853CE"/>
    <w:rsid w:val="00E867B6"/>
    <w:rsid w:val="00EA010F"/>
    <w:rsid w:val="00EB1A91"/>
    <w:rsid w:val="00EC51DA"/>
    <w:rsid w:val="00ED1B63"/>
    <w:rsid w:val="00ED3C1F"/>
    <w:rsid w:val="00ED4085"/>
    <w:rsid w:val="00ED420E"/>
    <w:rsid w:val="00ED6FBE"/>
    <w:rsid w:val="00ED7B36"/>
    <w:rsid w:val="00EE2F57"/>
    <w:rsid w:val="00EF4C34"/>
    <w:rsid w:val="00EF77C6"/>
    <w:rsid w:val="00F05438"/>
    <w:rsid w:val="00F1361C"/>
    <w:rsid w:val="00F156F0"/>
    <w:rsid w:val="00F160C7"/>
    <w:rsid w:val="00F22578"/>
    <w:rsid w:val="00F2408F"/>
    <w:rsid w:val="00F240E9"/>
    <w:rsid w:val="00F3423D"/>
    <w:rsid w:val="00F36D8F"/>
    <w:rsid w:val="00F417B1"/>
    <w:rsid w:val="00F45853"/>
    <w:rsid w:val="00F53E71"/>
    <w:rsid w:val="00F5479B"/>
    <w:rsid w:val="00F602DF"/>
    <w:rsid w:val="00F6487F"/>
    <w:rsid w:val="00F754A1"/>
    <w:rsid w:val="00F80D7A"/>
    <w:rsid w:val="00F81FD9"/>
    <w:rsid w:val="00F841AA"/>
    <w:rsid w:val="00F84A94"/>
    <w:rsid w:val="00F87E96"/>
    <w:rsid w:val="00FA23E8"/>
    <w:rsid w:val="00FB0335"/>
    <w:rsid w:val="00FB49B8"/>
    <w:rsid w:val="00FC51AE"/>
    <w:rsid w:val="00FD3CC1"/>
    <w:rsid w:val="00FF1E02"/>
    <w:rsid w:val="00FF30B4"/>
    <w:rsid w:val="0A2032A3"/>
    <w:rsid w:val="10C055FF"/>
    <w:rsid w:val="118107EC"/>
    <w:rsid w:val="16BB723D"/>
    <w:rsid w:val="18015F3F"/>
    <w:rsid w:val="1BE8440E"/>
    <w:rsid w:val="1D155CEE"/>
    <w:rsid w:val="20F57F95"/>
    <w:rsid w:val="240371BF"/>
    <w:rsid w:val="27842671"/>
    <w:rsid w:val="29FD04D3"/>
    <w:rsid w:val="2ABE7A3E"/>
    <w:rsid w:val="319F7F4E"/>
    <w:rsid w:val="3C0C0783"/>
    <w:rsid w:val="493C27E9"/>
    <w:rsid w:val="496F39ED"/>
    <w:rsid w:val="49FF41D3"/>
    <w:rsid w:val="4BE068DB"/>
    <w:rsid w:val="4BF6002B"/>
    <w:rsid w:val="4ECE2238"/>
    <w:rsid w:val="5C55022A"/>
    <w:rsid w:val="64CA39A1"/>
    <w:rsid w:val="6C4A05C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link w:val="35"/>
    <w:semiHidden/>
    <w:unhideWhenUsed/>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6"/>
    <w:next w:val="6"/>
    <w:link w:val="36"/>
    <w:semiHidden/>
    <w:unhideWhenUsed/>
    <w:qFormat/>
    <w:uiPriority w:val="99"/>
    <w:rPr>
      <w:b/>
      <w:bCs/>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uiPriority w:val="99"/>
    <w:rPr>
      <w:sz w:val="21"/>
      <w:szCs w:val="21"/>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35">
    <w:name w:val="批注文字 Char"/>
    <w:basedOn w:val="16"/>
    <w:link w:val="6"/>
    <w:semiHidden/>
    <w:qFormat/>
    <w:uiPriority w:val="99"/>
    <w:rPr>
      <w:rFonts w:ascii="Times New Roman" w:hAnsi="Times New Roman" w:eastAsia="宋体" w:cs="Times New Roman"/>
      <w:kern w:val="2"/>
      <w:sz w:val="21"/>
      <w:szCs w:val="24"/>
    </w:rPr>
  </w:style>
  <w:style w:type="character" w:customStyle="1" w:styleId="36">
    <w:name w:val="批注主题 Char"/>
    <w:basedOn w:val="35"/>
    <w:link w:val="14"/>
    <w:semiHidden/>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5462.3</c:v>
                </c:pt>
                <c:pt idx="1">
                  <c:v>5860.7</c:v>
                </c:pt>
              </c:numCache>
            </c:numRef>
          </c:val>
        </c:ser>
        <c:dLbls>
          <c:showLegendKey val="0"/>
          <c:showVal val="0"/>
          <c:showCatName val="0"/>
          <c:showSerName val="0"/>
          <c:showPercent val="0"/>
          <c:showBubbleSize val="0"/>
        </c:dLbls>
        <c:gapWidth val="150"/>
        <c:axId val="74712576"/>
        <c:axId val="74714112"/>
      </c:barChart>
      <c:catAx>
        <c:axId val="7471257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714112"/>
        <c:crosses val="autoZero"/>
        <c:auto val="1"/>
        <c:lblAlgn val="ctr"/>
        <c:lblOffset val="100"/>
        <c:noMultiLvlLbl val="0"/>
      </c:catAx>
      <c:valAx>
        <c:axId val="747141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712576"/>
        <c:crosses val="autoZero"/>
        <c:crossBetween val="between"/>
      </c:valAx>
    </c:plotArea>
    <c:plotVisOnly val="1"/>
    <c:dispBlanksAs val="gap"/>
    <c:showDLblsOverMax val="0"/>
  </c:chart>
  <c:spPr>
    <a:ln w="0"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3952.48</c:v>
                </c:pt>
                <c:pt idx="1">
                  <c:v>1809.09</c:v>
                </c:pt>
                <c:pt idx="2">
                  <c:v>9.01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4139.61</c:v>
                </c:pt>
                <c:pt idx="1">
                  <c:v>1721.09</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3613.73</c:v>
                </c:pt>
                <c:pt idx="1">
                  <c:v>3952.48</c:v>
                </c:pt>
              </c:numCache>
            </c:numRef>
          </c:val>
        </c:ser>
        <c:dLbls>
          <c:showLegendKey val="0"/>
          <c:showVal val="1"/>
          <c:showCatName val="0"/>
          <c:showSerName val="0"/>
          <c:showPercent val="0"/>
          <c:showBubbleSize val="0"/>
        </c:dLbls>
        <c:gapWidth val="150"/>
        <c:axId val="75070080"/>
        <c:axId val="75081216"/>
      </c:barChart>
      <c:catAx>
        <c:axId val="75070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081216"/>
        <c:crosses val="autoZero"/>
        <c:auto val="1"/>
        <c:lblAlgn val="ctr"/>
        <c:lblOffset val="100"/>
        <c:noMultiLvlLbl val="0"/>
      </c:catAx>
      <c:valAx>
        <c:axId val="7508121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070080"/>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0966201063947"/>
          <c:y val="0.179198600174978"/>
          <c:w val="0.856857433050754"/>
          <c:h val="0.714107319918344"/>
        </c:manualLayout>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3613.73</c:v>
                </c:pt>
                <c:pt idx="1">
                  <c:v>3952.48</c:v>
                </c:pt>
              </c:numCache>
            </c:numRef>
          </c:val>
        </c:ser>
        <c:dLbls>
          <c:showLegendKey val="0"/>
          <c:showVal val="1"/>
          <c:showCatName val="0"/>
          <c:showSerName val="0"/>
          <c:showPercent val="0"/>
          <c:showBubbleSize val="0"/>
        </c:dLbls>
        <c:gapWidth val="150"/>
        <c:axId val="75092352"/>
        <c:axId val="75095040"/>
      </c:barChart>
      <c:catAx>
        <c:axId val="750923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095040"/>
        <c:crosses val="autoZero"/>
        <c:auto val="1"/>
        <c:lblAlgn val="ctr"/>
        <c:lblOffset val="100"/>
        <c:noMultiLvlLbl val="0"/>
      </c:catAx>
      <c:valAx>
        <c:axId val="75095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092352"/>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layout>
                <c:manualLayout>
                  <c:x val="-0.0035334192693369"/>
                  <c:y val="-0.3261324516755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7932203740805"/>
                  <c:y val="0.11363524310842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62811763914126"/>
                  <c:y val="0.079269442148460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教育支出（类）</c:v>
                </c:pt>
                <c:pt idx="1">
                  <c:v>文化旅游体育与传媒（类）</c:v>
                </c:pt>
                <c:pt idx="2">
                  <c:v>社会保障和就业（类）</c:v>
                </c:pt>
              </c:strCache>
            </c:strRef>
          </c:cat>
          <c:val>
            <c:numRef>
              <c:f>Sheet1!$B$2:$B$4</c:f>
              <c:numCache>
                <c:formatCode>General</c:formatCode>
                <c:ptCount val="3"/>
                <c:pt idx="0">
                  <c:v>3788.46</c:v>
                </c:pt>
                <c:pt idx="1">
                  <c:v>40</c:v>
                </c:pt>
                <c:pt idx="2">
                  <c:v>124.02</c:v>
                </c:pt>
              </c:numCache>
            </c:numRef>
          </c:val>
        </c:ser>
        <c:dLbls>
          <c:showLegendKey val="0"/>
          <c:showVal val="0"/>
          <c:showCatName val="1"/>
          <c:showSerName val="0"/>
          <c:showPercent val="1"/>
          <c:showBubbleSize val="0"/>
        </c:dLbls>
      </c:pie3DChart>
    </c:plotArea>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7525B-A475-4C13-B8B2-44562A7FE54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3126</Words>
  <Characters>17823</Characters>
  <Lines>148</Lines>
  <Paragraphs>41</Paragraphs>
  <TotalTime>553</TotalTime>
  <ScaleCrop>false</ScaleCrop>
  <LinksUpToDate>false</LinksUpToDate>
  <CharactersWithSpaces>20908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2021-08-19T03:24:00Z</dcterms:created>
  <dc:creator>曹颖</dc:creator>
  <cp:lastModifiedBy>静好</cp:lastModifiedBy>
  <cp:lastPrinted>2021-08-19T09:06:00Z</cp:lastPrinted>
  <dcterms:modified xsi:type="dcterms:W3CDTF">2023-11-22T03:13:23Z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CD469F69A1374BEB9CEA0A9E18949392_12</vt:lpwstr>
  </property>
</Properties>
</file>